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32C1" w14:textId="5891628E" w:rsidR="00F03441" w:rsidRPr="00D62B9A" w:rsidRDefault="005D20A1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r w:rsidRPr="00D62B9A">
        <w:rPr>
          <w:rFonts w:ascii="Open Sans" w:hAnsi="Open Sans" w:cs="Open Sans"/>
          <w:b/>
          <w:color w:val="007096"/>
          <w:sz w:val="28"/>
          <w:szCs w:val="28"/>
        </w:rPr>
        <w:t>Outstanding teac</w:t>
      </w:r>
      <w:r w:rsidR="00D62B9A" w:rsidRPr="00D62B9A">
        <w:rPr>
          <w:rFonts w:ascii="Open Sans" w:hAnsi="Open Sans" w:cs="Open Sans"/>
          <w:b/>
          <w:color w:val="007096"/>
          <w:sz w:val="28"/>
          <w:szCs w:val="28"/>
        </w:rPr>
        <w:t>hing, learning and assessment: c</w:t>
      </w:r>
      <w:r w:rsidRPr="00D62B9A">
        <w:rPr>
          <w:rFonts w:ascii="Open Sans" w:hAnsi="Open Sans" w:cs="Open Sans"/>
          <w:b/>
          <w:color w:val="007096"/>
          <w:sz w:val="28"/>
          <w:szCs w:val="28"/>
        </w:rPr>
        <w:t xml:space="preserve">ase study </w:t>
      </w:r>
      <w:r w:rsidR="00D62B9A" w:rsidRPr="00D62B9A">
        <w:rPr>
          <w:rFonts w:ascii="Open Sans" w:hAnsi="Open Sans" w:cs="Open Sans"/>
          <w:b/>
          <w:color w:val="007096"/>
          <w:sz w:val="28"/>
          <w:szCs w:val="28"/>
        </w:rPr>
        <w:t>on operational project led by City and Islington College</w:t>
      </w:r>
    </w:p>
    <w:p w14:paraId="667AD221" w14:textId="77777777" w:rsidR="005D20A1" w:rsidRPr="00D62B9A" w:rsidRDefault="00851C3A" w:rsidP="005D20A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D62B9A">
        <w:rPr>
          <w:rFonts w:ascii="Open Sans" w:hAnsi="Open Sans" w:cs="Open Sans"/>
          <w:color w:val="007096"/>
          <w:sz w:val="22"/>
          <w:szCs w:val="22"/>
        </w:rPr>
        <w:t>Introduction</w:t>
      </w:r>
    </w:p>
    <w:p w14:paraId="68DBE333" w14:textId="38AFD475" w:rsidR="00405B22" w:rsidRDefault="00A35DAC" w:rsidP="00405B22">
      <w:pPr>
        <w:pStyle w:val="ListParagraph"/>
        <w:spacing w:after="120"/>
        <w:ind w:left="0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7A79B6">
        <w:rPr>
          <w:rFonts w:ascii="Open Sans" w:hAnsi="Open Sans" w:cs="Open Sans"/>
        </w:rPr>
        <w:t>project,</w:t>
      </w:r>
      <w:r w:rsidR="00CB7D07" w:rsidRPr="00D62B9A">
        <w:rPr>
          <w:rFonts w:ascii="Open Sans" w:hAnsi="Open Sans" w:cs="Open Sans"/>
        </w:rPr>
        <w:t xml:space="preserve"> </w:t>
      </w:r>
      <w:r w:rsidR="005049DE" w:rsidRPr="00D62B9A">
        <w:rPr>
          <w:rFonts w:ascii="Open Sans" w:hAnsi="Open Sans" w:cs="Open Sans"/>
        </w:rPr>
        <w:t>led by City &amp; Islington College</w:t>
      </w:r>
      <w:r>
        <w:rPr>
          <w:rFonts w:ascii="Open Sans" w:hAnsi="Open Sans" w:cs="Open Sans"/>
        </w:rPr>
        <w:t xml:space="preserve"> </w:t>
      </w:r>
      <w:r w:rsidR="00F83362" w:rsidRPr="00D62B9A">
        <w:rPr>
          <w:rFonts w:ascii="Open Sans" w:hAnsi="Open Sans" w:cs="Open Sans"/>
        </w:rPr>
        <w:t>and</w:t>
      </w:r>
      <w:r w:rsidR="00CB7D07" w:rsidRPr="00D62B9A">
        <w:rPr>
          <w:rFonts w:ascii="Open Sans" w:hAnsi="Open Sans" w:cs="Open Sans"/>
        </w:rPr>
        <w:t xml:space="preserve"> </w:t>
      </w:r>
      <w:r w:rsidR="005049DE" w:rsidRPr="00D62B9A">
        <w:rPr>
          <w:rFonts w:ascii="Open Sans" w:hAnsi="Open Sans" w:cs="Open Sans"/>
        </w:rPr>
        <w:t xml:space="preserve">supported by </w:t>
      </w:r>
      <w:r w:rsidR="00CB7D07" w:rsidRPr="00D62B9A">
        <w:rPr>
          <w:rFonts w:ascii="Open Sans" w:hAnsi="Open Sans" w:cs="Open Sans"/>
        </w:rPr>
        <w:t>UCL</w:t>
      </w:r>
      <w:r w:rsidR="003049D4" w:rsidRPr="00D62B9A">
        <w:rPr>
          <w:rFonts w:ascii="Open Sans" w:hAnsi="Open Sans" w:cs="Open Sans"/>
        </w:rPr>
        <w:t xml:space="preserve"> </w:t>
      </w:r>
      <w:r w:rsidR="005049DE" w:rsidRPr="00D62B9A">
        <w:rPr>
          <w:rFonts w:ascii="Open Sans" w:hAnsi="Open Sans" w:cs="Open Sans"/>
        </w:rPr>
        <w:t>Institute of Education</w:t>
      </w:r>
      <w:r w:rsidR="00962A07">
        <w:rPr>
          <w:rFonts w:ascii="Open Sans" w:hAnsi="Open Sans" w:cs="Open Sans"/>
        </w:rPr>
        <w:t xml:space="preserve"> (</w:t>
      </w:r>
      <w:r w:rsidR="00405B22">
        <w:rPr>
          <w:rFonts w:ascii="Open Sans" w:hAnsi="Open Sans" w:cs="Open Sans"/>
        </w:rPr>
        <w:t xml:space="preserve">UCL </w:t>
      </w:r>
      <w:r w:rsidR="00962A07">
        <w:rPr>
          <w:rFonts w:ascii="Open Sans" w:hAnsi="Open Sans" w:cs="Open Sans"/>
        </w:rPr>
        <w:t>IOE)</w:t>
      </w:r>
      <w:r w:rsidR="00CB7D07" w:rsidRPr="00D62B9A">
        <w:rPr>
          <w:rFonts w:ascii="Open Sans" w:hAnsi="Open Sans" w:cs="Open Sans"/>
        </w:rPr>
        <w:t>,</w:t>
      </w:r>
      <w:r w:rsidR="00405B22">
        <w:rPr>
          <w:rFonts w:ascii="Open Sans" w:hAnsi="Open Sans" w:cs="Open Sans"/>
        </w:rPr>
        <w:t xml:space="preserve"> wa</w:t>
      </w:r>
      <w:r w:rsidR="005049DE" w:rsidRPr="00D62B9A">
        <w:rPr>
          <w:rFonts w:ascii="Open Sans" w:hAnsi="Open Sans" w:cs="Open Sans"/>
        </w:rPr>
        <w:t>s a</w:t>
      </w:r>
      <w:r w:rsidR="00CB7D07" w:rsidRPr="00D62B9A">
        <w:rPr>
          <w:rFonts w:ascii="Open Sans" w:hAnsi="Open Sans" w:cs="Open Sans"/>
        </w:rPr>
        <w:t xml:space="preserve"> collaborative</w:t>
      </w:r>
      <w:r w:rsidR="005049DE" w:rsidRPr="00D62B9A">
        <w:rPr>
          <w:rFonts w:ascii="Open Sans" w:hAnsi="Open Sans" w:cs="Open Sans"/>
        </w:rPr>
        <w:t xml:space="preserve"> cross-London project which has 16 other college </w:t>
      </w:r>
      <w:r w:rsidR="00563D07" w:rsidRPr="00D62B9A">
        <w:rPr>
          <w:rFonts w:ascii="Open Sans" w:hAnsi="Open Sans" w:cs="Open Sans"/>
        </w:rPr>
        <w:t>m</w:t>
      </w:r>
      <w:r w:rsidR="005049DE" w:rsidRPr="00D62B9A">
        <w:rPr>
          <w:rFonts w:ascii="Open Sans" w:hAnsi="Open Sans" w:cs="Open Sans"/>
        </w:rPr>
        <w:t xml:space="preserve">embers </w:t>
      </w:r>
      <w:r w:rsidR="00FF4410">
        <w:rPr>
          <w:rFonts w:ascii="Open Sans" w:hAnsi="Open Sans" w:cs="Open Sans"/>
        </w:rPr>
        <w:t xml:space="preserve">comprised of, </w:t>
      </w:r>
      <w:r w:rsidR="00405B22">
        <w:rPr>
          <w:rFonts w:ascii="Open Sans" w:hAnsi="Open Sans" w:cs="Open Sans"/>
        </w:rPr>
        <w:t>among others:</w:t>
      </w:r>
      <w:r w:rsidR="005049DE" w:rsidRPr="00D62B9A">
        <w:rPr>
          <w:rFonts w:ascii="Open Sans" w:hAnsi="Open Sans" w:cs="Open Sans"/>
        </w:rPr>
        <w:t xml:space="preserve"> College of Haringey, Enfield &amp; North East London; Barnet and Southgate</w:t>
      </w:r>
      <w:r w:rsidR="007A79B6">
        <w:rPr>
          <w:rFonts w:ascii="Open Sans" w:hAnsi="Open Sans" w:cs="Open Sans"/>
        </w:rPr>
        <w:t xml:space="preserve"> College;</w:t>
      </w:r>
      <w:r w:rsidR="005049DE" w:rsidRPr="00D62B9A">
        <w:rPr>
          <w:rFonts w:ascii="Open Sans" w:hAnsi="Open Sans" w:cs="Open Sans"/>
        </w:rPr>
        <w:t xml:space="preserve"> </w:t>
      </w:r>
      <w:r w:rsidR="007A79B6">
        <w:rPr>
          <w:rFonts w:ascii="Open Sans" w:hAnsi="Open Sans" w:cs="Open Sans"/>
        </w:rPr>
        <w:t xml:space="preserve">Lewisham </w:t>
      </w:r>
      <w:r w:rsidR="00DF18EC" w:rsidRPr="00D62B9A">
        <w:rPr>
          <w:rFonts w:ascii="Open Sans" w:hAnsi="Open Sans" w:cs="Open Sans"/>
        </w:rPr>
        <w:t>Southwark</w:t>
      </w:r>
      <w:r w:rsidR="007A79B6">
        <w:rPr>
          <w:rFonts w:ascii="Open Sans" w:hAnsi="Open Sans" w:cs="Open Sans"/>
        </w:rPr>
        <w:t xml:space="preserve"> College;</w:t>
      </w:r>
      <w:r w:rsidR="00DF18EC" w:rsidRPr="00D62B9A">
        <w:rPr>
          <w:rFonts w:ascii="Open Sans" w:hAnsi="Open Sans" w:cs="Open Sans"/>
        </w:rPr>
        <w:t xml:space="preserve"> </w:t>
      </w:r>
      <w:r w:rsidR="005049DE" w:rsidRPr="00D62B9A">
        <w:rPr>
          <w:rFonts w:ascii="Open Sans" w:hAnsi="Open Sans" w:cs="Open Sans"/>
        </w:rPr>
        <w:t>Westminster Kingsway</w:t>
      </w:r>
      <w:r w:rsidR="007A79B6">
        <w:rPr>
          <w:rFonts w:ascii="Open Sans" w:hAnsi="Open Sans" w:cs="Open Sans"/>
        </w:rPr>
        <w:t xml:space="preserve"> College;</w:t>
      </w:r>
      <w:r w:rsidR="005049DE" w:rsidRPr="00D62B9A">
        <w:rPr>
          <w:rFonts w:ascii="Open Sans" w:hAnsi="Open Sans" w:cs="Open Sans"/>
        </w:rPr>
        <w:t xml:space="preserve"> John Ruskin</w:t>
      </w:r>
      <w:r w:rsidR="007A79B6">
        <w:rPr>
          <w:rFonts w:ascii="Open Sans" w:hAnsi="Open Sans" w:cs="Open Sans"/>
        </w:rPr>
        <w:t xml:space="preserve"> College;</w:t>
      </w:r>
      <w:r w:rsidR="005049DE" w:rsidRPr="00D62B9A">
        <w:rPr>
          <w:rFonts w:ascii="Open Sans" w:hAnsi="Open Sans" w:cs="Open Sans"/>
        </w:rPr>
        <w:t xml:space="preserve"> New</w:t>
      </w:r>
      <w:r w:rsidR="007A79B6">
        <w:rPr>
          <w:rFonts w:ascii="Open Sans" w:hAnsi="Open Sans" w:cs="Open Sans"/>
        </w:rPr>
        <w:t>ham College;</w:t>
      </w:r>
      <w:r w:rsidR="005049DE" w:rsidRPr="00D62B9A">
        <w:rPr>
          <w:rFonts w:ascii="Open Sans" w:hAnsi="Open Sans" w:cs="Open Sans"/>
        </w:rPr>
        <w:t xml:space="preserve"> Barking </w:t>
      </w:r>
      <w:r w:rsidR="007A79B6">
        <w:rPr>
          <w:rFonts w:ascii="Open Sans" w:hAnsi="Open Sans" w:cs="Open Sans"/>
        </w:rPr>
        <w:t>&amp;</w:t>
      </w:r>
      <w:r w:rsidR="005049DE" w:rsidRPr="00D62B9A">
        <w:rPr>
          <w:rFonts w:ascii="Open Sans" w:hAnsi="Open Sans" w:cs="Open Sans"/>
        </w:rPr>
        <w:t xml:space="preserve"> Dagenham</w:t>
      </w:r>
      <w:r w:rsidR="007A79B6">
        <w:rPr>
          <w:rFonts w:ascii="Open Sans" w:hAnsi="Open Sans" w:cs="Open Sans"/>
        </w:rPr>
        <w:t xml:space="preserve"> College;</w:t>
      </w:r>
      <w:r w:rsidR="005049DE" w:rsidRPr="00D62B9A">
        <w:rPr>
          <w:rFonts w:ascii="Open Sans" w:hAnsi="Open Sans" w:cs="Open Sans"/>
        </w:rPr>
        <w:t xml:space="preserve"> </w:t>
      </w:r>
      <w:r w:rsidR="007A79B6">
        <w:rPr>
          <w:rFonts w:ascii="Open Sans" w:hAnsi="Open Sans" w:cs="Open Sans"/>
        </w:rPr>
        <w:t xml:space="preserve">Sir </w:t>
      </w:r>
      <w:r w:rsidR="00DF18EC" w:rsidRPr="00D62B9A">
        <w:rPr>
          <w:rFonts w:ascii="Open Sans" w:hAnsi="Open Sans" w:cs="Open Sans"/>
        </w:rPr>
        <w:t xml:space="preserve">George </w:t>
      </w:r>
      <w:proofErr w:type="spellStart"/>
      <w:r w:rsidR="00DF18EC" w:rsidRPr="00D62B9A">
        <w:rPr>
          <w:rFonts w:ascii="Open Sans" w:hAnsi="Open Sans" w:cs="Open Sans"/>
        </w:rPr>
        <w:t>Monoux</w:t>
      </w:r>
      <w:proofErr w:type="spellEnd"/>
      <w:r w:rsidR="007A79B6">
        <w:rPr>
          <w:rFonts w:ascii="Open Sans" w:hAnsi="Open Sans" w:cs="Open Sans"/>
        </w:rPr>
        <w:t xml:space="preserve"> College</w:t>
      </w:r>
      <w:r w:rsidR="006109F7">
        <w:rPr>
          <w:rFonts w:ascii="Open Sans" w:hAnsi="Open Sans" w:cs="Open Sans"/>
        </w:rPr>
        <w:t>;</w:t>
      </w:r>
      <w:r w:rsidR="007A79B6">
        <w:rPr>
          <w:rFonts w:ascii="Open Sans" w:hAnsi="Open Sans" w:cs="Open Sans"/>
        </w:rPr>
        <w:t xml:space="preserve"> and Lambeth College</w:t>
      </w:r>
      <w:r w:rsidR="005049DE" w:rsidRPr="00D62B9A">
        <w:rPr>
          <w:rFonts w:ascii="Open Sans" w:hAnsi="Open Sans" w:cs="Open Sans"/>
        </w:rPr>
        <w:t>.</w:t>
      </w:r>
    </w:p>
    <w:p w14:paraId="3D16DCAC" w14:textId="6C3A1825" w:rsidR="00405B22" w:rsidRDefault="007A79B6" w:rsidP="00405B22">
      <w:pPr>
        <w:pStyle w:val="ListParagraph"/>
        <w:spacing w:after="120"/>
        <w:ind w:left="0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City and Islington College</w:t>
      </w:r>
      <w:r w:rsidR="005049DE" w:rsidRPr="00D62B9A">
        <w:rPr>
          <w:rFonts w:ascii="Open Sans" w:hAnsi="Open Sans" w:cs="Open Sans"/>
        </w:rPr>
        <w:t>, like all the other colleges involved</w:t>
      </w:r>
      <w:r w:rsidR="00F83362" w:rsidRPr="00D62B9A">
        <w:rPr>
          <w:rFonts w:ascii="Open Sans" w:hAnsi="Open Sans" w:cs="Open Sans"/>
        </w:rPr>
        <w:t xml:space="preserve"> in the project,</w:t>
      </w:r>
      <w:r w:rsidR="005049DE" w:rsidRPr="00D62B9A">
        <w:rPr>
          <w:rFonts w:ascii="Open Sans" w:hAnsi="Open Sans" w:cs="Open Sans"/>
        </w:rPr>
        <w:t xml:space="preserve"> has </w:t>
      </w:r>
      <w:r w:rsidR="00563D07" w:rsidRPr="00D62B9A">
        <w:rPr>
          <w:rFonts w:ascii="Open Sans" w:hAnsi="Open Sans" w:cs="Open Sans"/>
        </w:rPr>
        <w:t xml:space="preserve">and will continue to have </w:t>
      </w:r>
      <w:r w:rsidR="005049DE" w:rsidRPr="00D62B9A">
        <w:rPr>
          <w:rFonts w:ascii="Open Sans" w:hAnsi="Open Sans" w:cs="Open Sans"/>
        </w:rPr>
        <w:t xml:space="preserve">a large </w:t>
      </w:r>
      <w:r w:rsidR="009C0C41" w:rsidRPr="00D62B9A">
        <w:rPr>
          <w:rFonts w:ascii="Open Sans" w:hAnsi="Open Sans" w:cs="Open Sans"/>
        </w:rPr>
        <w:t>cohort of</w:t>
      </w:r>
      <w:r w:rsidR="005049DE" w:rsidRPr="00D62B9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full-time learners aged 16 to </w:t>
      </w:r>
      <w:r w:rsidR="004B7012" w:rsidRPr="00D62B9A">
        <w:rPr>
          <w:rFonts w:ascii="Open Sans" w:hAnsi="Open Sans" w:cs="Open Sans"/>
        </w:rPr>
        <w:t>18</w:t>
      </w:r>
      <w:r w:rsidR="00C868E1">
        <w:rPr>
          <w:rFonts w:ascii="Open Sans" w:hAnsi="Open Sans" w:cs="Open Sans"/>
        </w:rPr>
        <w:t>-years-</w:t>
      </w:r>
      <w:r>
        <w:rPr>
          <w:rFonts w:ascii="Open Sans" w:hAnsi="Open Sans" w:cs="Open Sans"/>
        </w:rPr>
        <w:t>old</w:t>
      </w:r>
      <w:r w:rsidR="004B7012" w:rsidRPr="00D62B9A">
        <w:rPr>
          <w:rFonts w:ascii="Open Sans" w:hAnsi="Open Sans" w:cs="Open Sans"/>
        </w:rPr>
        <w:t xml:space="preserve"> engaged in the new study programmes. </w:t>
      </w:r>
      <w:r w:rsidR="00164B2B" w:rsidRPr="00D62B9A">
        <w:rPr>
          <w:rFonts w:ascii="Open Sans" w:hAnsi="Open Sans" w:cs="Open Sans"/>
        </w:rPr>
        <w:t>All of these learners will be expected to either gain the appropriate qualification in English (F</w:t>
      </w:r>
      <w:r>
        <w:rPr>
          <w:rFonts w:ascii="Open Sans" w:hAnsi="Open Sans" w:cs="Open Sans"/>
        </w:rPr>
        <w:t xml:space="preserve">unctional </w:t>
      </w:r>
      <w:r w:rsidR="00164B2B" w:rsidRPr="00D62B9A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>kills</w:t>
      </w:r>
      <w:r w:rsidR="00164B2B" w:rsidRPr="00D62B9A">
        <w:rPr>
          <w:rFonts w:ascii="Open Sans" w:hAnsi="Open Sans" w:cs="Open Sans"/>
        </w:rPr>
        <w:t xml:space="preserve"> or GCSE) or if they already have A*-C grades, continue to improve their English skills. At the moment</w:t>
      </w:r>
      <w:r w:rsidR="00F83362" w:rsidRPr="00D62B9A">
        <w:rPr>
          <w:rFonts w:ascii="Open Sans" w:hAnsi="Open Sans" w:cs="Open Sans"/>
        </w:rPr>
        <w:t>, 25%</w:t>
      </w:r>
      <w:r w:rsidR="00164B2B" w:rsidRPr="00D62B9A">
        <w:rPr>
          <w:rFonts w:ascii="Open Sans" w:hAnsi="Open Sans" w:cs="Open Sans"/>
        </w:rPr>
        <w:t xml:space="preserve"> of the learners at </w:t>
      </w:r>
      <w:r>
        <w:rPr>
          <w:rFonts w:ascii="Open Sans" w:hAnsi="Open Sans" w:cs="Open Sans"/>
        </w:rPr>
        <w:t>City and Islington College</w:t>
      </w:r>
      <w:r w:rsidR="00164B2B" w:rsidRPr="00D62B9A">
        <w:rPr>
          <w:rFonts w:ascii="Open Sans" w:hAnsi="Open Sans" w:cs="Open Sans"/>
        </w:rPr>
        <w:t xml:space="preserve"> fall into the first ca</w:t>
      </w:r>
      <w:r>
        <w:rPr>
          <w:rFonts w:ascii="Open Sans" w:hAnsi="Open Sans" w:cs="Open Sans"/>
        </w:rPr>
        <w:t>tegory and</w:t>
      </w:r>
      <w:r w:rsidR="00164B2B" w:rsidRPr="00D62B9A">
        <w:rPr>
          <w:rFonts w:ascii="Open Sans" w:hAnsi="Open Sans" w:cs="Open Sans"/>
        </w:rPr>
        <w:t xml:space="preserve"> </w:t>
      </w:r>
      <w:r w:rsidR="00F83362" w:rsidRPr="00D62B9A">
        <w:rPr>
          <w:rFonts w:ascii="Open Sans" w:hAnsi="Open Sans" w:cs="Open Sans"/>
        </w:rPr>
        <w:t>75%</w:t>
      </w:r>
      <w:r>
        <w:rPr>
          <w:rFonts w:ascii="Open Sans" w:hAnsi="Open Sans" w:cs="Open Sans"/>
        </w:rPr>
        <w:t xml:space="preserve"> to</w:t>
      </w:r>
      <w:r w:rsidR="00164B2B" w:rsidRPr="00D62B9A">
        <w:rPr>
          <w:rFonts w:ascii="Open Sans" w:hAnsi="Open Sans" w:cs="Open Sans"/>
        </w:rPr>
        <w:t xml:space="preserve"> the latter. </w:t>
      </w:r>
    </w:p>
    <w:p w14:paraId="504ED978" w14:textId="24E32283" w:rsidR="00563D07" w:rsidRPr="00D62B9A" w:rsidRDefault="00CA242A" w:rsidP="00405B22">
      <w:pPr>
        <w:pStyle w:val="ListParagraph"/>
        <w:spacing w:after="120"/>
        <w:ind w:left="0"/>
        <w:contextualSpacing w:val="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Because the colleges involved in this project are based all o</w:t>
      </w:r>
      <w:r w:rsidR="007A79B6">
        <w:rPr>
          <w:rFonts w:ascii="Open Sans" w:hAnsi="Open Sans" w:cs="Open Sans"/>
        </w:rPr>
        <w:t>ver London – South, East, West and</w:t>
      </w:r>
      <w:r w:rsidRPr="00D62B9A">
        <w:rPr>
          <w:rFonts w:ascii="Open Sans" w:hAnsi="Open Sans" w:cs="Open Sans"/>
        </w:rPr>
        <w:t xml:space="preserve"> North</w:t>
      </w:r>
      <w:r w:rsidR="00336ED6">
        <w:rPr>
          <w:rFonts w:ascii="Open Sans" w:hAnsi="Open Sans" w:cs="Open Sans"/>
        </w:rPr>
        <w:t xml:space="preserve"> -</w:t>
      </w:r>
      <w:r w:rsidRPr="00D62B9A">
        <w:rPr>
          <w:rFonts w:ascii="Open Sans" w:hAnsi="Open Sans" w:cs="Open Sans"/>
        </w:rPr>
        <w:t xml:space="preserve"> the learners who attend </w:t>
      </w:r>
      <w:r w:rsidR="007041A7" w:rsidRPr="00D62B9A">
        <w:rPr>
          <w:rFonts w:ascii="Open Sans" w:hAnsi="Open Sans" w:cs="Open Sans"/>
        </w:rPr>
        <w:t xml:space="preserve">also </w:t>
      </w:r>
      <w:r w:rsidRPr="00D62B9A">
        <w:rPr>
          <w:rFonts w:ascii="Open Sans" w:hAnsi="Open Sans" w:cs="Open Sans"/>
        </w:rPr>
        <w:t>reflect that diversity</w:t>
      </w:r>
      <w:r w:rsidR="00161753" w:rsidRPr="00D62B9A">
        <w:rPr>
          <w:rFonts w:ascii="Open Sans" w:hAnsi="Open Sans" w:cs="Open Sans"/>
        </w:rPr>
        <w:t xml:space="preserve"> in terms of prior attainment</w:t>
      </w:r>
      <w:r w:rsidRPr="00D62B9A">
        <w:rPr>
          <w:rFonts w:ascii="Open Sans" w:hAnsi="Open Sans" w:cs="Open Sans"/>
        </w:rPr>
        <w:t xml:space="preserve">, experience, </w:t>
      </w:r>
      <w:r w:rsidR="00004289" w:rsidRPr="00D62B9A">
        <w:rPr>
          <w:rFonts w:ascii="Open Sans" w:hAnsi="Open Sans" w:cs="Open Sans"/>
        </w:rPr>
        <w:t xml:space="preserve">gender &amp; </w:t>
      </w:r>
      <w:r w:rsidRPr="00D62B9A">
        <w:rPr>
          <w:rFonts w:ascii="Open Sans" w:hAnsi="Open Sans" w:cs="Open Sans"/>
        </w:rPr>
        <w:t>ethnicity</w:t>
      </w:r>
      <w:r w:rsidR="004712D2" w:rsidRPr="00D62B9A">
        <w:rPr>
          <w:rFonts w:ascii="Open Sans" w:hAnsi="Open Sans" w:cs="Open Sans"/>
        </w:rPr>
        <w:t>.</w:t>
      </w:r>
    </w:p>
    <w:p w14:paraId="10BA10AF" w14:textId="729D5D50" w:rsidR="00FE72CD" w:rsidRPr="00D62B9A" w:rsidRDefault="007041A7" w:rsidP="00405B22">
      <w:pPr>
        <w:tabs>
          <w:tab w:val="left" w:pos="5595"/>
        </w:tabs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</w:t>
      </w:r>
      <w:r w:rsidR="00161753" w:rsidRPr="00D62B9A">
        <w:rPr>
          <w:rFonts w:ascii="Open Sans" w:hAnsi="Open Sans" w:cs="Open Sans"/>
        </w:rPr>
        <w:t xml:space="preserve">aim of the </w:t>
      </w:r>
      <w:r w:rsidRPr="00D62B9A">
        <w:rPr>
          <w:rFonts w:ascii="Open Sans" w:hAnsi="Open Sans" w:cs="Open Sans"/>
        </w:rPr>
        <w:t xml:space="preserve">project </w:t>
      </w:r>
      <w:r w:rsidR="00161753" w:rsidRPr="00D62B9A">
        <w:rPr>
          <w:rFonts w:ascii="Open Sans" w:hAnsi="Open Sans" w:cs="Open Sans"/>
        </w:rPr>
        <w:t xml:space="preserve">was </w:t>
      </w:r>
      <w:r w:rsidRPr="00D62B9A">
        <w:rPr>
          <w:rFonts w:ascii="Open Sans" w:hAnsi="Open Sans" w:cs="Open Sans"/>
        </w:rPr>
        <w:t xml:space="preserve">to </w:t>
      </w:r>
      <w:r w:rsidR="00FE72CD" w:rsidRPr="00D62B9A">
        <w:rPr>
          <w:rFonts w:ascii="Open Sans" w:hAnsi="Open Sans" w:cs="Open Sans"/>
        </w:rPr>
        <w:t>develop</w:t>
      </w:r>
      <w:r w:rsidRPr="00D62B9A">
        <w:rPr>
          <w:rFonts w:ascii="Open Sans" w:hAnsi="Open Sans" w:cs="Open Sans"/>
        </w:rPr>
        <w:t xml:space="preserve"> </w:t>
      </w:r>
      <w:r w:rsidR="00807820">
        <w:rPr>
          <w:rFonts w:ascii="Open Sans" w:hAnsi="Open Sans" w:cs="Open Sans"/>
        </w:rPr>
        <w:t>a pan-</w:t>
      </w:r>
      <w:r w:rsidR="00FE72CD" w:rsidRPr="00D62B9A">
        <w:rPr>
          <w:rFonts w:ascii="Open Sans" w:hAnsi="Open Sans" w:cs="Open Sans"/>
        </w:rPr>
        <w:t>London community of practitioners who would be willing to ide</w:t>
      </w:r>
      <w:r w:rsidR="00807820">
        <w:rPr>
          <w:rFonts w:ascii="Open Sans" w:hAnsi="Open Sans" w:cs="Open Sans"/>
        </w:rPr>
        <w:t xml:space="preserve">ntify and share resources </w:t>
      </w:r>
      <w:r w:rsidR="008E224A">
        <w:rPr>
          <w:rFonts w:ascii="Open Sans" w:hAnsi="Open Sans" w:cs="Open Sans"/>
        </w:rPr>
        <w:t>and</w:t>
      </w:r>
      <w:r w:rsidR="00FE72CD" w:rsidRPr="00D62B9A">
        <w:rPr>
          <w:rFonts w:ascii="Open Sans" w:hAnsi="Open Sans" w:cs="Open Sans"/>
        </w:rPr>
        <w:t xml:space="preserve"> practices </w:t>
      </w:r>
      <w:r w:rsidR="00161753" w:rsidRPr="00D62B9A">
        <w:rPr>
          <w:rFonts w:ascii="Open Sans" w:hAnsi="Open Sans" w:cs="Open Sans"/>
        </w:rPr>
        <w:t>to support</w:t>
      </w:r>
      <w:r w:rsidR="00004289" w:rsidRPr="00D62B9A">
        <w:rPr>
          <w:rFonts w:ascii="Open Sans" w:hAnsi="Open Sans" w:cs="Open Sans"/>
        </w:rPr>
        <w:t xml:space="preserve"> all learners participating in study programme</w:t>
      </w:r>
      <w:r w:rsidR="003B4808" w:rsidRPr="00D62B9A">
        <w:rPr>
          <w:rFonts w:ascii="Open Sans" w:hAnsi="Open Sans" w:cs="Open Sans"/>
        </w:rPr>
        <w:t>s</w:t>
      </w:r>
      <w:r w:rsidR="00161753" w:rsidRPr="00D62B9A">
        <w:rPr>
          <w:rFonts w:ascii="Open Sans" w:hAnsi="Open Sans" w:cs="Open Sans"/>
        </w:rPr>
        <w:t>. In identifying and working towards</w:t>
      </w:r>
      <w:r w:rsidR="00004289" w:rsidRPr="00D62B9A">
        <w:rPr>
          <w:rFonts w:ascii="Open Sans" w:hAnsi="Open Sans" w:cs="Open Sans"/>
        </w:rPr>
        <w:t xml:space="preserve"> outstanding </w:t>
      </w:r>
      <w:r w:rsidR="00161753" w:rsidRPr="00D62B9A">
        <w:rPr>
          <w:rFonts w:ascii="Open Sans" w:hAnsi="Open Sans" w:cs="Open Sans"/>
        </w:rPr>
        <w:t xml:space="preserve">teaching, learning and assessment of English, the longer term aim </w:t>
      </w:r>
      <w:r w:rsidR="006109F7">
        <w:rPr>
          <w:rFonts w:ascii="Open Sans" w:hAnsi="Open Sans" w:cs="Open Sans"/>
        </w:rPr>
        <w:t>wa</w:t>
      </w:r>
      <w:r w:rsidR="003D657B" w:rsidRPr="00D62B9A">
        <w:rPr>
          <w:rFonts w:ascii="Open Sans" w:hAnsi="Open Sans" w:cs="Open Sans"/>
        </w:rPr>
        <w:t>s</w:t>
      </w:r>
      <w:r w:rsidR="00161753" w:rsidRPr="00D62B9A">
        <w:rPr>
          <w:rFonts w:ascii="Open Sans" w:hAnsi="Open Sans" w:cs="Open Sans"/>
        </w:rPr>
        <w:t xml:space="preserve"> to </w:t>
      </w:r>
      <w:r w:rsidR="004B7012" w:rsidRPr="00D62B9A">
        <w:rPr>
          <w:rFonts w:ascii="Open Sans" w:hAnsi="Open Sans" w:cs="Open Sans"/>
        </w:rPr>
        <w:t>increase the</w:t>
      </w:r>
      <w:r w:rsidR="00004289" w:rsidRPr="00D62B9A">
        <w:rPr>
          <w:rFonts w:ascii="Open Sans" w:hAnsi="Open Sans" w:cs="Open Sans"/>
        </w:rPr>
        <w:t xml:space="preserve"> level of achievement</w:t>
      </w:r>
      <w:r w:rsidR="00FE72CD" w:rsidRPr="00D62B9A">
        <w:rPr>
          <w:rFonts w:ascii="Open Sans" w:hAnsi="Open Sans" w:cs="Open Sans"/>
        </w:rPr>
        <w:t xml:space="preserve"> in English </w:t>
      </w:r>
      <w:r w:rsidR="00004289" w:rsidRPr="00D62B9A">
        <w:rPr>
          <w:rFonts w:ascii="Open Sans" w:hAnsi="Open Sans" w:cs="Open Sans"/>
        </w:rPr>
        <w:t xml:space="preserve">as well as </w:t>
      </w:r>
      <w:r w:rsidR="003D657B" w:rsidRPr="00D62B9A">
        <w:rPr>
          <w:rFonts w:ascii="Open Sans" w:hAnsi="Open Sans" w:cs="Open Sans"/>
        </w:rPr>
        <w:t xml:space="preserve">the </w:t>
      </w:r>
      <w:r w:rsidR="00004289" w:rsidRPr="00D62B9A">
        <w:rPr>
          <w:rFonts w:ascii="Open Sans" w:hAnsi="Open Sans" w:cs="Open Sans"/>
        </w:rPr>
        <w:t xml:space="preserve">continued development of relevant skills </w:t>
      </w:r>
      <w:r w:rsidR="00FE72CD" w:rsidRPr="00D62B9A">
        <w:rPr>
          <w:rFonts w:ascii="Open Sans" w:hAnsi="Open Sans" w:cs="Open Sans"/>
        </w:rPr>
        <w:t xml:space="preserve">within the study programme. </w:t>
      </w:r>
      <w:r w:rsidRPr="00D62B9A">
        <w:rPr>
          <w:rFonts w:ascii="Open Sans" w:hAnsi="Open Sans" w:cs="Open Sans"/>
        </w:rPr>
        <w:t xml:space="preserve">It also </w:t>
      </w:r>
      <w:r w:rsidR="00161753" w:rsidRPr="00D62B9A">
        <w:rPr>
          <w:rFonts w:ascii="Open Sans" w:hAnsi="Open Sans" w:cs="Open Sans"/>
        </w:rPr>
        <w:t xml:space="preserve">planned </w:t>
      </w:r>
      <w:r w:rsidRPr="00D62B9A">
        <w:rPr>
          <w:rFonts w:ascii="Open Sans" w:hAnsi="Open Sans" w:cs="Open Sans"/>
        </w:rPr>
        <w:t xml:space="preserve">to identify practitioners who </w:t>
      </w:r>
      <w:r w:rsidR="00161753" w:rsidRPr="00D62B9A">
        <w:rPr>
          <w:rFonts w:ascii="Open Sans" w:hAnsi="Open Sans" w:cs="Open Sans"/>
        </w:rPr>
        <w:t xml:space="preserve">could </w:t>
      </w:r>
      <w:r w:rsidRPr="00D62B9A">
        <w:rPr>
          <w:rFonts w:ascii="Open Sans" w:hAnsi="Open Sans" w:cs="Open Sans"/>
        </w:rPr>
        <w:t>continue to support this development through action</w:t>
      </w:r>
      <w:r w:rsidR="005162B8" w:rsidRPr="00D62B9A">
        <w:rPr>
          <w:rFonts w:ascii="Open Sans" w:hAnsi="Open Sans" w:cs="Open Sans"/>
        </w:rPr>
        <w:t xml:space="preserve"> research</w:t>
      </w:r>
      <w:r w:rsidR="00161753" w:rsidRPr="00D62B9A">
        <w:rPr>
          <w:rFonts w:ascii="Open Sans" w:hAnsi="Open Sans" w:cs="Open Sans"/>
        </w:rPr>
        <w:t>.</w:t>
      </w:r>
    </w:p>
    <w:p w14:paraId="71EBF1DC" w14:textId="37182EA4" w:rsidR="00B51EA5" w:rsidRDefault="00B51EA5" w:rsidP="00405B22">
      <w:pPr>
        <w:tabs>
          <w:tab w:val="left" w:pos="5595"/>
        </w:tabs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The project</w:t>
      </w:r>
      <w:r w:rsidR="00D05B53" w:rsidRPr="00D62B9A">
        <w:rPr>
          <w:rFonts w:ascii="Open Sans" w:hAnsi="Open Sans" w:cs="Open Sans"/>
        </w:rPr>
        <w:t xml:space="preserve"> </w:t>
      </w:r>
      <w:r w:rsidR="006109F7">
        <w:rPr>
          <w:rFonts w:ascii="Open Sans" w:hAnsi="Open Sans" w:cs="Open Sans"/>
        </w:rPr>
        <w:t>embraced</w:t>
      </w:r>
      <w:r w:rsidR="00D05B53" w:rsidRPr="00D62B9A">
        <w:rPr>
          <w:rFonts w:ascii="Open Sans" w:hAnsi="Open Sans" w:cs="Open Sans"/>
        </w:rPr>
        <w:t xml:space="preserve"> the ethos of </w:t>
      </w:r>
      <w:r w:rsidR="002170BF">
        <w:rPr>
          <w:rFonts w:ascii="Open Sans" w:hAnsi="Open Sans" w:cs="Open Sans"/>
        </w:rPr>
        <w:t>equality and diversity</w:t>
      </w:r>
      <w:r w:rsidR="00D05B53" w:rsidRPr="00D62B9A">
        <w:rPr>
          <w:rFonts w:ascii="Open Sans" w:hAnsi="Open Sans" w:cs="Open Sans"/>
        </w:rPr>
        <w:t xml:space="preserve"> by reducing barriers for learners most disadvantaged because of their low English skills. </w:t>
      </w:r>
    </w:p>
    <w:p w14:paraId="26C20B4F" w14:textId="77777777" w:rsidR="00955E55" w:rsidRPr="00D62B9A" w:rsidRDefault="00955E55" w:rsidP="00405B22">
      <w:pPr>
        <w:tabs>
          <w:tab w:val="left" w:pos="5595"/>
        </w:tabs>
        <w:spacing w:after="120"/>
        <w:rPr>
          <w:rFonts w:ascii="Open Sans" w:hAnsi="Open Sans" w:cs="Open Sans"/>
        </w:rPr>
      </w:pPr>
    </w:p>
    <w:p w14:paraId="4D1EC9A3" w14:textId="77777777" w:rsidR="00706FCB" w:rsidRPr="00D62B9A" w:rsidRDefault="00E5334B" w:rsidP="00405B22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D62B9A">
        <w:rPr>
          <w:rFonts w:ascii="Open Sans" w:hAnsi="Open Sans" w:cs="Open Sans"/>
          <w:color w:val="007096"/>
          <w:sz w:val="22"/>
          <w:szCs w:val="22"/>
        </w:rPr>
        <w:t>Approach</w:t>
      </w:r>
    </w:p>
    <w:p w14:paraId="407212B6" w14:textId="6A5FA28A" w:rsidR="003B231A" w:rsidRPr="00D62B9A" w:rsidRDefault="00161753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A</w:t>
      </w:r>
      <w:r w:rsidR="003B231A" w:rsidRPr="00D62B9A">
        <w:rPr>
          <w:rFonts w:ascii="Open Sans" w:hAnsi="Open Sans" w:cs="Open Sans"/>
        </w:rPr>
        <w:t xml:space="preserve">t the inaugural meeting </w:t>
      </w:r>
      <w:r w:rsidR="00B2319F" w:rsidRPr="00D62B9A">
        <w:rPr>
          <w:rFonts w:ascii="Open Sans" w:hAnsi="Open Sans" w:cs="Open Sans"/>
        </w:rPr>
        <w:t>the group</w:t>
      </w:r>
      <w:r w:rsidR="004A2395" w:rsidRPr="00D62B9A">
        <w:rPr>
          <w:rFonts w:ascii="Open Sans" w:hAnsi="Open Sans" w:cs="Open Sans"/>
        </w:rPr>
        <w:t xml:space="preserve"> identified </w:t>
      </w:r>
      <w:r w:rsidR="00E902DF">
        <w:rPr>
          <w:rFonts w:ascii="Open Sans" w:hAnsi="Open Sans" w:cs="Open Sans"/>
        </w:rPr>
        <w:t>the three</w:t>
      </w:r>
      <w:r w:rsidR="00B2319F" w:rsidRPr="00D62B9A">
        <w:rPr>
          <w:rFonts w:ascii="Open Sans" w:hAnsi="Open Sans" w:cs="Open Sans"/>
        </w:rPr>
        <w:t xml:space="preserve"> most pressing areas </w:t>
      </w:r>
      <w:r w:rsidR="003B231A" w:rsidRPr="00D62B9A">
        <w:rPr>
          <w:rFonts w:ascii="Open Sans" w:hAnsi="Open Sans" w:cs="Open Sans"/>
        </w:rPr>
        <w:t xml:space="preserve">in </w:t>
      </w:r>
      <w:r w:rsidR="00E902DF">
        <w:rPr>
          <w:rFonts w:ascii="Open Sans" w:hAnsi="Open Sans" w:cs="Open Sans"/>
        </w:rPr>
        <w:t>teaching, learning and assessment</w:t>
      </w:r>
      <w:r w:rsidR="003B231A" w:rsidRPr="00D62B9A">
        <w:rPr>
          <w:rFonts w:ascii="Open Sans" w:hAnsi="Open Sans" w:cs="Open Sans"/>
        </w:rPr>
        <w:t xml:space="preserve">.  </w:t>
      </w:r>
    </w:p>
    <w:p w14:paraId="7344B6EA" w14:textId="77777777" w:rsidR="00161753" w:rsidRPr="00D62B9A" w:rsidRDefault="003B231A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areas agreed on by the group were: </w:t>
      </w:r>
    </w:p>
    <w:p w14:paraId="2E2A374E" w14:textId="4EAE3C46" w:rsidR="00815B01" w:rsidRPr="00D62B9A" w:rsidRDefault="00E902DF" w:rsidP="00405B22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Higher achievement through improved assessment and induction m</w:t>
      </w:r>
      <w:r w:rsidR="002F339A">
        <w:rPr>
          <w:rFonts w:ascii="Open Sans" w:hAnsi="Open Sans" w:cs="Open Sans"/>
        </w:rPr>
        <w:t>odels</w:t>
      </w:r>
    </w:p>
    <w:p w14:paraId="24986E66" w14:textId="7733EABC" w:rsidR="00815B01" w:rsidRPr="00D62B9A" w:rsidRDefault="00E902DF" w:rsidP="00405B22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Differentiation by s</w:t>
      </w:r>
      <w:r w:rsidR="004F33FA" w:rsidRPr="00D62B9A">
        <w:rPr>
          <w:rFonts w:ascii="Open Sans" w:hAnsi="Open Sans" w:cs="Open Sans"/>
        </w:rPr>
        <w:t>kills</w:t>
      </w:r>
    </w:p>
    <w:p w14:paraId="06D00857" w14:textId="4C765050" w:rsidR="00815B01" w:rsidRPr="00D62B9A" w:rsidRDefault="004F33FA" w:rsidP="00405B22">
      <w:pPr>
        <w:pStyle w:val="ListParagraph"/>
        <w:numPr>
          <w:ilvl w:val="0"/>
          <w:numId w:val="8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Embedding English </w:t>
      </w:r>
      <w:r w:rsidR="00336ED6">
        <w:rPr>
          <w:rFonts w:ascii="Open Sans" w:hAnsi="Open Sans" w:cs="Open Sans"/>
        </w:rPr>
        <w:t>in</w:t>
      </w:r>
      <w:r w:rsidR="00336ED6" w:rsidRPr="00D62B9A">
        <w:rPr>
          <w:rFonts w:ascii="Open Sans" w:hAnsi="Open Sans" w:cs="Open Sans"/>
        </w:rPr>
        <w:t xml:space="preserve"> </w:t>
      </w:r>
      <w:r w:rsidRPr="00D62B9A">
        <w:rPr>
          <w:rFonts w:ascii="Open Sans" w:hAnsi="Open Sans" w:cs="Open Sans"/>
        </w:rPr>
        <w:t>the vocational curriculum</w:t>
      </w:r>
    </w:p>
    <w:p w14:paraId="75DC9771" w14:textId="2E576D81" w:rsidR="00CA251B" w:rsidRPr="00D62B9A" w:rsidRDefault="004F33FA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It was agreed that</w:t>
      </w:r>
      <w:r w:rsidR="00CA251B" w:rsidRPr="00D62B9A">
        <w:rPr>
          <w:rFonts w:ascii="Open Sans" w:hAnsi="Open Sans" w:cs="Open Sans"/>
        </w:rPr>
        <w:t xml:space="preserve"> each of the above strands could make a significant contribution to potentially </w:t>
      </w:r>
      <w:r w:rsidR="003D657B" w:rsidRPr="00D62B9A">
        <w:rPr>
          <w:rFonts w:ascii="Open Sans" w:hAnsi="Open Sans" w:cs="Open Sans"/>
        </w:rPr>
        <w:t xml:space="preserve">developing </w:t>
      </w:r>
      <w:r w:rsidR="00CA251B" w:rsidRPr="00D62B9A">
        <w:rPr>
          <w:rFonts w:ascii="Open Sans" w:hAnsi="Open Sans" w:cs="Open Sans"/>
        </w:rPr>
        <w:t xml:space="preserve">outstanding teaching, learning and assessment across all partners and improve the </w:t>
      </w:r>
      <w:r w:rsidRPr="00D62B9A">
        <w:rPr>
          <w:rFonts w:ascii="Open Sans" w:hAnsi="Open Sans" w:cs="Open Sans"/>
        </w:rPr>
        <w:t>individual needs of every learner</w:t>
      </w:r>
      <w:r w:rsidR="00CA251B" w:rsidRPr="00D62B9A">
        <w:rPr>
          <w:rFonts w:ascii="Open Sans" w:hAnsi="Open Sans" w:cs="Open Sans"/>
        </w:rPr>
        <w:t>.</w:t>
      </w:r>
    </w:p>
    <w:p w14:paraId="2DF5719D" w14:textId="65D5B973" w:rsidR="00B0599C" w:rsidRPr="00D62B9A" w:rsidRDefault="004F33FA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Members were encouraged to join the group where they felt they would be most productive. </w:t>
      </w:r>
      <w:r w:rsidR="00B2319F" w:rsidRPr="00D62B9A">
        <w:rPr>
          <w:rFonts w:ascii="Open Sans" w:hAnsi="Open Sans" w:cs="Open Sans"/>
        </w:rPr>
        <w:t>E</w:t>
      </w:r>
      <w:r w:rsidR="00934D8B" w:rsidRPr="00D62B9A">
        <w:rPr>
          <w:rFonts w:ascii="Open Sans" w:hAnsi="Open Sans" w:cs="Open Sans"/>
        </w:rPr>
        <w:t xml:space="preserve">ach group was to identify, by engaging </w:t>
      </w:r>
      <w:r w:rsidR="00B2319F" w:rsidRPr="00D62B9A">
        <w:rPr>
          <w:rFonts w:ascii="Open Sans" w:hAnsi="Open Sans" w:cs="Open Sans"/>
        </w:rPr>
        <w:t>with practitioners</w:t>
      </w:r>
      <w:r w:rsidR="009669AD" w:rsidRPr="00D62B9A">
        <w:rPr>
          <w:rFonts w:ascii="Open Sans" w:hAnsi="Open Sans" w:cs="Open Sans"/>
        </w:rPr>
        <w:t>,</w:t>
      </w:r>
      <w:r w:rsidR="00B2319F" w:rsidRPr="00D62B9A">
        <w:rPr>
          <w:rFonts w:ascii="Open Sans" w:hAnsi="Open Sans" w:cs="Open Sans"/>
        </w:rPr>
        <w:t xml:space="preserve"> learners and other stakeholders, </w:t>
      </w:r>
      <w:r w:rsidR="00934D8B" w:rsidRPr="00D62B9A">
        <w:rPr>
          <w:rFonts w:ascii="Open Sans" w:hAnsi="Open Sans" w:cs="Open Sans"/>
        </w:rPr>
        <w:t>current</w:t>
      </w:r>
      <w:r w:rsidR="006C3A69" w:rsidRPr="00D62B9A">
        <w:rPr>
          <w:rFonts w:ascii="Open Sans" w:hAnsi="Open Sans" w:cs="Open Sans"/>
        </w:rPr>
        <w:t xml:space="preserve"> practices</w:t>
      </w:r>
      <w:r w:rsidR="00EB0301" w:rsidRPr="00D62B9A">
        <w:rPr>
          <w:rFonts w:ascii="Open Sans" w:hAnsi="Open Sans" w:cs="Open Sans"/>
        </w:rPr>
        <w:t xml:space="preserve"> and </w:t>
      </w:r>
      <w:r w:rsidR="006C3A69" w:rsidRPr="00D62B9A">
        <w:rPr>
          <w:rFonts w:ascii="Open Sans" w:hAnsi="Open Sans" w:cs="Open Sans"/>
        </w:rPr>
        <w:t>areas of concern around the given themes and possible support</w:t>
      </w:r>
      <w:r w:rsidR="002F339A">
        <w:rPr>
          <w:rFonts w:ascii="Open Sans" w:hAnsi="Open Sans" w:cs="Open Sans"/>
        </w:rPr>
        <w:t xml:space="preserve"> and</w:t>
      </w:r>
      <w:r w:rsidR="00934D8B" w:rsidRPr="00D62B9A">
        <w:rPr>
          <w:rFonts w:ascii="Open Sans" w:hAnsi="Open Sans" w:cs="Open Sans"/>
        </w:rPr>
        <w:t xml:space="preserve"> resources </w:t>
      </w:r>
      <w:r w:rsidR="006C3A69" w:rsidRPr="00D62B9A">
        <w:rPr>
          <w:rFonts w:ascii="Open Sans" w:hAnsi="Open Sans" w:cs="Open Sans"/>
        </w:rPr>
        <w:t xml:space="preserve">that </w:t>
      </w:r>
      <w:r w:rsidR="00934D8B" w:rsidRPr="00D62B9A">
        <w:rPr>
          <w:rFonts w:ascii="Open Sans" w:hAnsi="Open Sans" w:cs="Open Sans"/>
        </w:rPr>
        <w:t xml:space="preserve">could be provided. </w:t>
      </w:r>
    </w:p>
    <w:p w14:paraId="546AAA1E" w14:textId="68B85B46" w:rsidR="00DC2D02" w:rsidRPr="00D62B9A" w:rsidRDefault="00DC2D02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project embraced </w:t>
      </w:r>
      <w:r w:rsidR="002F339A">
        <w:rPr>
          <w:rFonts w:ascii="Open Sans" w:hAnsi="Open Sans" w:cs="Open Sans"/>
        </w:rPr>
        <w:t>equality and diversity</w:t>
      </w:r>
      <w:r w:rsidRPr="00D62B9A">
        <w:rPr>
          <w:rFonts w:ascii="Open Sans" w:hAnsi="Open Sans" w:cs="Open Sans"/>
        </w:rPr>
        <w:t xml:space="preserve"> by encouraging diversity in s</w:t>
      </w:r>
      <w:r w:rsidR="002F339A">
        <w:rPr>
          <w:rFonts w:ascii="Open Sans" w:hAnsi="Open Sans" w:cs="Open Sans"/>
        </w:rPr>
        <w:t>ample and</w:t>
      </w:r>
      <w:r w:rsidRPr="00D62B9A">
        <w:rPr>
          <w:rFonts w:ascii="Open Sans" w:hAnsi="Open Sans" w:cs="Open Sans"/>
        </w:rPr>
        <w:t xml:space="preserve"> response.  Each participant worked with stakeholders across different curriculum areas in their own colleges. Data was collected using a variety of methods such as questionnaires, direct interviews and focus groups. At least 40 practitioners and 700</w:t>
      </w:r>
      <w:r w:rsidR="002F339A">
        <w:rPr>
          <w:rFonts w:ascii="Open Sans" w:hAnsi="Open Sans" w:cs="Open Sans"/>
        </w:rPr>
        <w:t xml:space="preserve"> learners were involved in all three strands. </w:t>
      </w:r>
      <w:r w:rsidRPr="00D62B9A">
        <w:rPr>
          <w:rFonts w:ascii="Open Sans" w:hAnsi="Open Sans" w:cs="Open Sans"/>
        </w:rPr>
        <w:t>Questions used were agreed upon and standardised to ensure consistency and fairness across board</w:t>
      </w:r>
      <w:r w:rsidR="00B51EA5" w:rsidRPr="00D62B9A">
        <w:rPr>
          <w:rFonts w:ascii="Open Sans" w:hAnsi="Open Sans" w:cs="Open Sans"/>
        </w:rPr>
        <w:t xml:space="preserve">. </w:t>
      </w:r>
    </w:p>
    <w:p w14:paraId="08A172EF" w14:textId="02B3E062" w:rsidR="00762FCE" w:rsidRPr="00D62B9A" w:rsidRDefault="00762FCE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scope of the project meant </w:t>
      </w:r>
      <w:r w:rsidR="002F339A">
        <w:rPr>
          <w:rFonts w:ascii="Open Sans" w:hAnsi="Open Sans" w:cs="Open Sans"/>
        </w:rPr>
        <w:t>that a diverse group of tutors and</w:t>
      </w:r>
      <w:r w:rsidRPr="00D62B9A">
        <w:rPr>
          <w:rFonts w:ascii="Open Sans" w:hAnsi="Open Sans" w:cs="Open Sans"/>
        </w:rPr>
        <w:t xml:space="preserve"> learners</w:t>
      </w:r>
      <w:r w:rsidR="00E8019B" w:rsidRPr="00D62B9A">
        <w:rPr>
          <w:rFonts w:ascii="Open Sans" w:hAnsi="Open Sans" w:cs="Open Sans"/>
        </w:rPr>
        <w:t xml:space="preserve">, </w:t>
      </w:r>
      <w:r w:rsidRPr="00D62B9A">
        <w:rPr>
          <w:rFonts w:ascii="Open Sans" w:hAnsi="Open Sans" w:cs="Open Sans"/>
        </w:rPr>
        <w:t xml:space="preserve">including learners whose first </w:t>
      </w:r>
      <w:r w:rsidR="002F339A">
        <w:rPr>
          <w:rFonts w:ascii="Open Sans" w:hAnsi="Open Sans" w:cs="Open Sans"/>
        </w:rPr>
        <w:t>language is no</w:t>
      </w:r>
      <w:r w:rsidRPr="00D62B9A">
        <w:rPr>
          <w:rFonts w:ascii="Open Sans" w:hAnsi="Open Sans" w:cs="Open Sans"/>
        </w:rPr>
        <w:t>t English</w:t>
      </w:r>
      <w:r w:rsidR="00E8019B" w:rsidRPr="00D62B9A">
        <w:rPr>
          <w:rFonts w:ascii="Open Sans" w:hAnsi="Open Sans" w:cs="Open Sans"/>
        </w:rPr>
        <w:t>,</w:t>
      </w:r>
      <w:r w:rsidRPr="00D62B9A">
        <w:rPr>
          <w:rFonts w:ascii="Open Sans" w:hAnsi="Open Sans" w:cs="Open Sans"/>
        </w:rPr>
        <w:t xml:space="preserve"> were involved in the project</w:t>
      </w:r>
      <w:r w:rsidR="004D1C31" w:rsidRPr="00D62B9A">
        <w:rPr>
          <w:rFonts w:ascii="Open Sans" w:hAnsi="Open Sans" w:cs="Open Sans"/>
        </w:rPr>
        <w:t>.</w:t>
      </w:r>
      <w:r w:rsidRPr="00D62B9A">
        <w:rPr>
          <w:rFonts w:ascii="Open Sans" w:hAnsi="Open Sans" w:cs="Open Sans"/>
        </w:rPr>
        <w:t xml:space="preserve"> </w:t>
      </w:r>
    </w:p>
    <w:p w14:paraId="0EF27BDC" w14:textId="21924E39" w:rsidR="00BF2377" w:rsidRPr="00D62B9A" w:rsidRDefault="00BF2377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Apart from the general modus operandi used by all the gr</w:t>
      </w:r>
      <w:r w:rsidR="002F339A">
        <w:rPr>
          <w:rFonts w:ascii="Open Sans" w:hAnsi="Open Sans" w:cs="Open Sans"/>
        </w:rPr>
        <w:t>oups, the assessment, induction and</w:t>
      </w:r>
      <w:r w:rsidRPr="00D62B9A">
        <w:rPr>
          <w:rFonts w:ascii="Open Sans" w:hAnsi="Open Sans" w:cs="Open Sans"/>
        </w:rPr>
        <w:t xml:space="preserve"> placement model used by one of the colleges was reviewed as a possible model of outstanding practice. Also, 57 lesson observations were carried out to assess how English was being embedded in vocational areas. </w:t>
      </w:r>
    </w:p>
    <w:p w14:paraId="5BC52482" w14:textId="7920A4F3" w:rsidR="00DC2D02" w:rsidRPr="00D62B9A" w:rsidRDefault="00BF2377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The group demonstrated a strong sense of collaboration</w:t>
      </w:r>
      <w:r w:rsidR="003E1053" w:rsidRPr="00D62B9A">
        <w:rPr>
          <w:rFonts w:ascii="Open Sans" w:hAnsi="Open Sans" w:cs="Open Sans"/>
        </w:rPr>
        <w:t>,</w:t>
      </w:r>
      <w:r w:rsidRPr="00D62B9A">
        <w:rPr>
          <w:rFonts w:ascii="Open Sans" w:hAnsi="Open Sans" w:cs="Open Sans"/>
        </w:rPr>
        <w:t xml:space="preserve"> without which the project would have failed. Time constraint</w:t>
      </w:r>
      <w:r w:rsidR="005B1CD6" w:rsidRPr="00D62B9A">
        <w:rPr>
          <w:rFonts w:ascii="Open Sans" w:hAnsi="Open Sans" w:cs="Open Sans"/>
        </w:rPr>
        <w:t>s</w:t>
      </w:r>
      <w:r w:rsidR="002F339A">
        <w:rPr>
          <w:rFonts w:ascii="Open Sans" w:hAnsi="Open Sans" w:cs="Open Sans"/>
        </w:rPr>
        <w:t xml:space="preserve"> meant they could not</w:t>
      </w:r>
      <w:r w:rsidRPr="00D62B9A">
        <w:rPr>
          <w:rFonts w:ascii="Open Sans" w:hAnsi="Open Sans" w:cs="Open Sans"/>
        </w:rPr>
        <w:t xml:space="preserve"> have regular meetings, but each member of the group had an assigned task and fed back to the team lead. There was a whole group event where each team reported back on how they were doing. A</w:t>
      </w:r>
      <w:r w:rsidR="002F339A">
        <w:rPr>
          <w:rFonts w:ascii="Open Sans" w:hAnsi="Open Sans" w:cs="Open Sans"/>
        </w:rPr>
        <w:t xml:space="preserve"> diary which captured planning and</w:t>
      </w:r>
      <w:r w:rsidRPr="00D62B9A">
        <w:rPr>
          <w:rFonts w:ascii="Open Sans" w:hAnsi="Open Sans" w:cs="Open Sans"/>
        </w:rPr>
        <w:t xml:space="preserve"> progress was also kept by the lead person. </w:t>
      </w:r>
    </w:p>
    <w:p w14:paraId="7D388F04" w14:textId="77777777" w:rsidR="00955E55" w:rsidRDefault="00955E55" w:rsidP="00405B22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</w:p>
    <w:p w14:paraId="640F8F37" w14:textId="3785BDAE" w:rsidR="00126597" w:rsidRPr="00D62B9A" w:rsidRDefault="006C3A69" w:rsidP="00405B22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D62B9A">
        <w:rPr>
          <w:rFonts w:ascii="Open Sans" w:hAnsi="Open Sans" w:cs="Open Sans"/>
          <w:color w:val="007096"/>
          <w:sz w:val="22"/>
          <w:szCs w:val="22"/>
        </w:rPr>
        <w:t>Outcomes</w:t>
      </w:r>
      <w:r w:rsidR="00955E55">
        <w:rPr>
          <w:rFonts w:ascii="Open Sans" w:hAnsi="Open Sans" w:cs="Open Sans"/>
          <w:color w:val="007096"/>
          <w:sz w:val="22"/>
          <w:szCs w:val="22"/>
        </w:rPr>
        <w:t xml:space="preserve"> and impact</w:t>
      </w:r>
    </w:p>
    <w:p w14:paraId="5581F87D" w14:textId="1A9958D8" w:rsidR="00A601BD" w:rsidRPr="00D62B9A" w:rsidRDefault="002F339A" w:rsidP="00405B22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All three</w:t>
      </w:r>
      <w:r w:rsidR="00A601BD" w:rsidRPr="00D62B9A">
        <w:rPr>
          <w:rFonts w:ascii="Open Sans" w:hAnsi="Open Sans" w:cs="Open Sans"/>
        </w:rPr>
        <w:t xml:space="preserve"> groups were able to ide</w:t>
      </w:r>
      <w:r>
        <w:rPr>
          <w:rFonts w:ascii="Open Sans" w:hAnsi="Open Sans" w:cs="Open Sans"/>
        </w:rPr>
        <w:t xml:space="preserve">ntify areas of good practice in teaching, learning and assessment </w:t>
      </w:r>
      <w:r w:rsidR="00A601BD" w:rsidRPr="00D62B9A">
        <w:rPr>
          <w:rFonts w:ascii="Open Sans" w:hAnsi="Open Sans" w:cs="Open Sans"/>
        </w:rPr>
        <w:t xml:space="preserve">that could be developed to become outstanding </w:t>
      </w:r>
      <w:r w:rsidR="003149A3" w:rsidRPr="00D62B9A">
        <w:rPr>
          <w:rFonts w:ascii="Open Sans" w:hAnsi="Open Sans" w:cs="Open Sans"/>
        </w:rPr>
        <w:t xml:space="preserve">practice and areas that needed to improve. </w:t>
      </w:r>
    </w:p>
    <w:p w14:paraId="7626B63D" w14:textId="77777777" w:rsidR="00FF7E4F" w:rsidRPr="00D62B9A" w:rsidRDefault="003E38DD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Some of the outcomes that have come out of the project include:</w:t>
      </w:r>
    </w:p>
    <w:p w14:paraId="462A3267" w14:textId="77777777" w:rsidR="003E38DD" w:rsidRPr="00D62B9A" w:rsidRDefault="003E38DD" w:rsidP="00405B22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lastRenderedPageBreak/>
        <w:t xml:space="preserve">Training sessions organised to continue to support practitioners to develop their ‘differentiation, stretching &amp; challenging’ skills  </w:t>
      </w:r>
    </w:p>
    <w:p w14:paraId="1772AA94" w14:textId="77777777" w:rsidR="00DB630D" w:rsidRPr="00D62B9A" w:rsidRDefault="003E38DD" w:rsidP="00405B22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Opportunities for practitioners to </w:t>
      </w:r>
      <w:r w:rsidR="00DB630D" w:rsidRPr="00D62B9A">
        <w:rPr>
          <w:rFonts w:ascii="Open Sans" w:hAnsi="Open Sans" w:cs="Open Sans"/>
        </w:rPr>
        <w:t>:</w:t>
      </w:r>
    </w:p>
    <w:p w14:paraId="5BDC7727" w14:textId="42CFD878" w:rsidR="003E38DD" w:rsidRPr="00D62B9A" w:rsidRDefault="003E38DD" w:rsidP="00405B22">
      <w:pPr>
        <w:pStyle w:val="ListParagraph"/>
        <w:numPr>
          <w:ilvl w:val="1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engage in </w:t>
      </w:r>
      <w:r w:rsidR="009765FB">
        <w:rPr>
          <w:rFonts w:ascii="Open Sans" w:hAnsi="Open Sans" w:cs="Open Sans"/>
        </w:rPr>
        <w:t>continuing professional development (CPD)</w:t>
      </w:r>
      <w:r w:rsidRPr="00D62B9A">
        <w:rPr>
          <w:rFonts w:ascii="Open Sans" w:hAnsi="Open Sans" w:cs="Open Sans"/>
        </w:rPr>
        <w:t xml:space="preserve"> modul</w:t>
      </w:r>
      <w:r w:rsidR="00962A07">
        <w:rPr>
          <w:rFonts w:ascii="Open Sans" w:hAnsi="Open Sans" w:cs="Open Sans"/>
        </w:rPr>
        <w:t xml:space="preserve">es linked to the project with </w:t>
      </w:r>
      <w:r w:rsidR="007379CB">
        <w:rPr>
          <w:rFonts w:ascii="Open Sans" w:hAnsi="Open Sans" w:cs="Open Sans"/>
        </w:rPr>
        <w:t xml:space="preserve">UCL </w:t>
      </w:r>
      <w:r w:rsidR="00962A07">
        <w:rPr>
          <w:rFonts w:ascii="Open Sans" w:hAnsi="Open Sans" w:cs="Open Sans"/>
        </w:rPr>
        <w:t>IO</w:t>
      </w:r>
      <w:r w:rsidRPr="00D62B9A">
        <w:rPr>
          <w:rFonts w:ascii="Open Sans" w:hAnsi="Open Sans" w:cs="Open Sans"/>
        </w:rPr>
        <w:t>E</w:t>
      </w:r>
    </w:p>
    <w:p w14:paraId="33D3F5ED" w14:textId="5447EAB7" w:rsidR="003E38DD" w:rsidRPr="00D62B9A" w:rsidRDefault="00DB630D" w:rsidP="00405B22">
      <w:pPr>
        <w:pStyle w:val="ListParagraph"/>
        <w:numPr>
          <w:ilvl w:val="1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continue to </w:t>
      </w:r>
      <w:r w:rsidR="003E38DD" w:rsidRPr="00D62B9A">
        <w:rPr>
          <w:rFonts w:ascii="Open Sans" w:hAnsi="Open Sans" w:cs="Open Sans"/>
        </w:rPr>
        <w:t xml:space="preserve">build positive and collaborative relationships with colleagues </w:t>
      </w:r>
      <w:r w:rsidRPr="00D62B9A">
        <w:rPr>
          <w:rFonts w:ascii="Open Sans" w:hAnsi="Open Sans" w:cs="Open Sans"/>
        </w:rPr>
        <w:t xml:space="preserve">and to share ideas and resources </w:t>
      </w:r>
    </w:p>
    <w:p w14:paraId="658E4802" w14:textId="6BA72FC6" w:rsidR="003E38DD" w:rsidRPr="00D62B9A" w:rsidRDefault="00DB630D" w:rsidP="00405B22">
      <w:pPr>
        <w:pStyle w:val="ListParagraph"/>
        <w:numPr>
          <w:ilvl w:val="1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d</w:t>
      </w:r>
      <w:r w:rsidR="003E38DD" w:rsidRPr="00D62B9A">
        <w:rPr>
          <w:rFonts w:ascii="Open Sans" w:hAnsi="Open Sans" w:cs="Open Sans"/>
        </w:rPr>
        <w:t xml:space="preserve">evelop skills that will enable them to use fair methods of assessment and provide constructive feedback that will allow for effective support &amp; learner progression </w:t>
      </w:r>
    </w:p>
    <w:p w14:paraId="1E6D566F" w14:textId="7C14DA96" w:rsidR="003E38DD" w:rsidRPr="00D62B9A" w:rsidRDefault="003E38DD" w:rsidP="00405B22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Increased confidence to share and develop resources that will ensure outstanding </w:t>
      </w:r>
      <w:r w:rsidR="009765FB">
        <w:rPr>
          <w:rFonts w:ascii="Open Sans" w:hAnsi="Open Sans" w:cs="Open Sans"/>
        </w:rPr>
        <w:t>teaching, learning and assessment</w:t>
      </w:r>
      <w:r w:rsidRPr="00D62B9A">
        <w:rPr>
          <w:rFonts w:ascii="Open Sans" w:hAnsi="Open Sans" w:cs="Open Sans"/>
        </w:rPr>
        <w:t xml:space="preserve">. </w:t>
      </w:r>
    </w:p>
    <w:p w14:paraId="6157C627" w14:textId="2DF7CACC" w:rsidR="00DB630D" w:rsidRPr="009765FB" w:rsidRDefault="003E38DD" w:rsidP="007A3572">
      <w:pPr>
        <w:spacing w:after="120"/>
        <w:ind w:left="36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As a result</w:t>
      </w:r>
      <w:r w:rsidR="001F6F23" w:rsidRPr="00D62B9A">
        <w:rPr>
          <w:rFonts w:ascii="Open Sans" w:hAnsi="Open Sans" w:cs="Open Sans"/>
        </w:rPr>
        <w:t xml:space="preserve"> of this</w:t>
      </w:r>
      <w:r w:rsidRPr="00D62B9A">
        <w:rPr>
          <w:rFonts w:ascii="Open Sans" w:hAnsi="Open Sans" w:cs="Open Sans"/>
        </w:rPr>
        <w:t xml:space="preserve">, human </w:t>
      </w:r>
      <w:r w:rsidR="009765FB">
        <w:rPr>
          <w:rFonts w:ascii="Open Sans" w:hAnsi="Open Sans" w:cs="Open Sans"/>
        </w:rPr>
        <w:t>and teaching, learning and assessment</w:t>
      </w:r>
      <w:r w:rsidRPr="00D62B9A">
        <w:rPr>
          <w:rFonts w:ascii="Open Sans" w:hAnsi="Open Sans" w:cs="Open Sans"/>
        </w:rPr>
        <w:t xml:space="preserve"> resources </w:t>
      </w:r>
      <w:r w:rsidR="00DB5575" w:rsidRPr="00D62B9A">
        <w:rPr>
          <w:rFonts w:ascii="Open Sans" w:hAnsi="Open Sans" w:cs="Open Sans"/>
        </w:rPr>
        <w:t xml:space="preserve">are being shared by practitioners. </w:t>
      </w:r>
      <w:r w:rsidR="00471A7F" w:rsidRPr="00D62B9A">
        <w:rPr>
          <w:rFonts w:ascii="Open Sans" w:hAnsi="Open Sans" w:cs="Open Sans"/>
        </w:rPr>
        <w:t>These resources are being shared and made available to practitioners on a social med</w:t>
      </w:r>
      <w:r w:rsidR="009765FB">
        <w:rPr>
          <w:rFonts w:ascii="Open Sans" w:hAnsi="Open Sans" w:cs="Open Sans"/>
        </w:rPr>
        <w:t>ia network: Y</w:t>
      </w:r>
      <w:r w:rsidR="00471A7F" w:rsidRPr="00D62B9A">
        <w:rPr>
          <w:rFonts w:ascii="Open Sans" w:hAnsi="Open Sans" w:cs="Open Sans"/>
        </w:rPr>
        <w:t xml:space="preserve">ammer. </w:t>
      </w:r>
    </w:p>
    <w:p w14:paraId="309D7199" w14:textId="1370F9B6" w:rsidR="003E7567" w:rsidRPr="00D62B9A" w:rsidRDefault="009C0C41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key impact, given the large </w:t>
      </w:r>
      <w:r w:rsidR="00813A8A" w:rsidRPr="00D62B9A">
        <w:rPr>
          <w:rFonts w:ascii="Open Sans" w:hAnsi="Open Sans" w:cs="Open Sans"/>
        </w:rPr>
        <w:t xml:space="preserve">number </w:t>
      </w:r>
      <w:r w:rsidRPr="00D62B9A">
        <w:rPr>
          <w:rFonts w:ascii="Open Sans" w:hAnsi="Open Sans" w:cs="Open Sans"/>
        </w:rPr>
        <w:t>of partners</w:t>
      </w:r>
      <w:r w:rsidR="00762FCE" w:rsidRPr="00D62B9A">
        <w:rPr>
          <w:rFonts w:ascii="Open Sans" w:hAnsi="Open Sans" w:cs="Open Sans"/>
        </w:rPr>
        <w:t xml:space="preserve"> involved in the project</w:t>
      </w:r>
      <w:r w:rsidRPr="00D62B9A">
        <w:rPr>
          <w:rFonts w:ascii="Open Sans" w:hAnsi="Open Sans" w:cs="Open Sans"/>
        </w:rPr>
        <w:t xml:space="preserve">, has been the outstanding level of collaboration </w:t>
      </w:r>
      <w:r w:rsidR="00E62EB4" w:rsidRPr="00D62B9A">
        <w:rPr>
          <w:rFonts w:ascii="Open Sans" w:hAnsi="Open Sans" w:cs="Open Sans"/>
        </w:rPr>
        <w:t xml:space="preserve">and </w:t>
      </w:r>
      <w:r w:rsidR="00CA5C18" w:rsidRPr="00D62B9A">
        <w:rPr>
          <w:rFonts w:ascii="Open Sans" w:hAnsi="Open Sans" w:cs="Open Sans"/>
        </w:rPr>
        <w:t>the willingness to share ideas and resources and to ask for support from those who are not part of the original group</w:t>
      </w:r>
      <w:r w:rsidR="00A601BD" w:rsidRPr="00D62B9A">
        <w:rPr>
          <w:rFonts w:ascii="Open Sans" w:hAnsi="Open Sans" w:cs="Open Sans"/>
        </w:rPr>
        <w:t>.</w:t>
      </w:r>
      <w:r w:rsidR="00CA5C18" w:rsidRPr="00D62B9A">
        <w:rPr>
          <w:rFonts w:ascii="Open Sans" w:hAnsi="Open Sans" w:cs="Open Sans"/>
        </w:rPr>
        <w:t xml:space="preserve"> </w:t>
      </w:r>
      <w:r w:rsidR="00D5491C" w:rsidRPr="00D62B9A">
        <w:rPr>
          <w:rFonts w:ascii="Open Sans" w:hAnsi="Open Sans" w:cs="Open Sans"/>
        </w:rPr>
        <w:t>Some of the colleges are already looking at how to adapt resources for their own use</w:t>
      </w:r>
      <w:r w:rsidR="003E7567" w:rsidRPr="00D62B9A">
        <w:rPr>
          <w:rFonts w:ascii="Open Sans" w:hAnsi="Open Sans" w:cs="Open Sans"/>
        </w:rPr>
        <w:t>. B</w:t>
      </w:r>
      <w:r w:rsidR="009765FB">
        <w:rPr>
          <w:rFonts w:ascii="Open Sans" w:hAnsi="Open Sans" w:cs="Open Sans"/>
        </w:rPr>
        <w:t>arking &amp; Dagenham College</w:t>
      </w:r>
      <w:r w:rsidR="003E7567" w:rsidRPr="00D62B9A">
        <w:rPr>
          <w:rFonts w:ascii="Open Sans" w:hAnsi="Open Sans" w:cs="Open Sans"/>
        </w:rPr>
        <w:t xml:space="preserve"> plans to bring in the expert trainer to work with their tutors in the new academic session because, according to a senior </w:t>
      </w:r>
      <w:r w:rsidR="00090BCF" w:rsidRPr="00D62B9A">
        <w:rPr>
          <w:rFonts w:ascii="Open Sans" w:hAnsi="Open Sans" w:cs="Open Sans"/>
        </w:rPr>
        <w:t>manager</w:t>
      </w:r>
      <w:r w:rsidR="00DD22B3" w:rsidRPr="00D62B9A">
        <w:rPr>
          <w:rFonts w:ascii="Open Sans" w:hAnsi="Open Sans" w:cs="Open Sans"/>
        </w:rPr>
        <w:t>:</w:t>
      </w:r>
    </w:p>
    <w:p w14:paraId="69436455" w14:textId="0EDF0403" w:rsidR="003E7567" w:rsidRPr="00D62B9A" w:rsidRDefault="003E7567" w:rsidP="00405B22">
      <w:pPr>
        <w:pStyle w:val="NormalWeb"/>
        <w:spacing w:before="0" w:beforeAutospacing="0" w:after="120" w:afterAutospacing="0" w:line="276" w:lineRule="auto"/>
        <w:ind w:left="720"/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</w:pPr>
      <w:r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“If we are going to be outstanding in our delivery, we need to </w:t>
      </w:r>
      <w:r w:rsidR="00674763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invest in our staff, give them confidence to </w:t>
      </w:r>
      <w:r w:rsidR="00FB2371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>develop strategies that</w:t>
      </w:r>
      <w:r w:rsidR="00674763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will help </w:t>
      </w:r>
      <w:r w:rsidR="00FB2371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>them identify</w:t>
      </w:r>
      <w:r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areas in </w:t>
      </w:r>
      <w:r w:rsidR="00FB2371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>their curriculum</w:t>
      </w:r>
      <w:r w:rsidR="009765FB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where maths and English naturally occur and</w:t>
      </w:r>
      <w:r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</w:t>
      </w:r>
      <w:r w:rsidR="00FB2371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>then help</w:t>
      </w:r>
      <w:r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learners</w:t>
      </w:r>
      <w:r w:rsidR="009765FB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appreciate, identify, develop and</w:t>
      </w:r>
      <w:r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apply these naturally occurring skills within the context of their vocation and real lif</w:t>
      </w:r>
      <w:r w:rsidR="009765FB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e – </w:t>
      </w:r>
      <w:r w:rsidR="00674763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I know </w:t>
      </w:r>
      <w:r w:rsidR="007708D8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>these</w:t>
      </w:r>
      <w:r w:rsidR="00674763" w:rsidRPr="00D62B9A">
        <w:rPr>
          <w:rFonts w:ascii="Open Sans" w:eastAsiaTheme="minorHAnsi" w:hAnsi="Open Sans" w:cs="Open Sans"/>
          <w:i/>
          <w:color w:val="007096"/>
          <w:sz w:val="22"/>
          <w:szCs w:val="22"/>
          <w:lang w:eastAsia="en-US"/>
        </w:rPr>
        <w:t xml:space="preserve"> training sessions will do that!”</w:t>
      </w:r>
    </w:p>
    <w:p w14:paraId="65977BB4" w14:textId="1CA9AE80" w:rsidR="00B7169A" w:rsidRPr="00D62B9A" w:rsidRDefault="00B7169A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It is anticipated that </w:t>
      </w:r>
      <w:r w:rsidR="00762FCE" w:rsidRPr="00D62B9A">
        <w:rPr>
          <w:rFonts w:ascii="Open Sans" w:hAnsi="Open Sans" w:cs="Open Sans"/>
        </w:rPr>
        <w:t xml:space="preserve">learner </w:t>
      </w:r>
      <w:r w:rsidR="009765FB">
        <w:rPr>
          <w:rFonts w:ascii="Open Sans" w:hAnsi="Open Sans" w:cs="Open Sans"/>
        </w:rPr>
        <w:t>retention and</w:t>
      </w:r>
      <w:r w:rsidRPr="00D62B9A">
        <w:rPr>
          <w:rFonts w:ascii="Open Sans" w:hAnsi="Open Sans" w:cs="Open Sans"/>
        </w:rPr>
        <w:t xml:space="preserve"> </w:t>
      </w:r>
      <w:r w:rsidR="00762FCE" w:rsidRPr="00D62B9A">
        <w:rPr>
          <w:rFonts w:ascii="Open Sans" w:hAnsi="Open Sans" w:cs="Open Sans"/>
        </w:rPr>
        <w:t>achievement will</w:t>
      </w:r>
      <w:r w:rsidRPr="00D62B9A">
        <w:rPr>
          <w:rFonts w:ascii="Open Sans" w:hAnsi="Open Sans" w:cs="Open Sans"/>
        </w:rPr>
        <w:t xml:space="preserve"> improve </w:t>
      </w:r>
      <w:r w:rsidR="00762FCE" w:rsidRPr="00D62B9A">
        <w:rPr>
          <w:rFonts w:ascii="Open Sans" w:hAnsi="Open Sans" w:cs="Open Sans"/>
        </w:rPr>
        <w:t>across all partner colleges as staff</w:t>
      </w:r>
      <w:r w:rsidRPr="00D62B9A">
        <w:rPr>
          <w:rFonts w:ascii="Open Sans" w:hAnsi="Open Sans" w:cs="Open Sans"/>
        </w:rPr>
        <w:t xml:space="preserve"> involved continue working towards a shared </w:t>
      </w:r>
      <w:r w:rsidR="00762FCE" w:rsidRPr="00D62B9A">
        <w:rPr>
          <w:rFonts w:ascii="Open Sans" w:hAnsi="Open Sans" w:cs="Open Sans"/>
        </w:rPr>
        <w:t>understanding</w:t>
      </w:r>
      <w:r w:rsidR="009765FB">
        <w:rPr>
          <w:rFonts w:ascii="Open Sans" w:hAnsi="Open Sans" w:cs="Open Sans"/>
        </w:rPr>
        <w:t xml:space="preserve"> of outstanding teaching and</w:t>
      </w:r>
      <w:r w:rsidRPr="00D62B9A">
        <w:rPr>
          <w:rFonts w:ascii="Open Sans" w:hAnsi="Open Sans" w:cs="Open Sans"/>
        </w:rPr>
        <w:t xml:space="preserve"> learning</w:t>
      </w:r>
      <w:r w:rsidR="007708D8">
        <w:rPr>
          <w:rFonts w:ascii="Open Sans" w:hAnsi="Open Sans" w:cs="Open Sans"/>
        </w:rPr>
        <w:t>.</w:t>
      </w:r>
      <w:r w:rsidRPr="00D62B9A">
        <w:rPr>
          <w:rFonts w:ascii="Open Sans" w:hAnsi="Open Sans" w:cs="Open Sans"/>
        </w:rPr>
        <w:t xml:space="preserve"> </w:t>
      </w:r>
    </w:p>
    <w:p w14:paraId="3B0719C6" w14:textId="0DB20E5C" w:rsidR="00CA6802" w:rsidRPr="00D62B9A" w:rsidRDefault="00FB2371" w:rsidP="00405B22">
      <w:pPr>
        <w:spacing w:after="120"/>
        <w:rPr>
          <w:rFonts w:ascii="Open Sans" w:hAnsi="Open Sans" w:cs="Open Sans"/>
          <w:i/>
        </w:rPr>
      </w:pPr>
      <w:r w:rsidRPr="00D62B9A">
        <w:rPr>
          <w:rFonts w:ascii="Open Sans" w:hAnsi="Open Sans" w:cs="Open Sans"/>
        </w:rPr>
        <w:t>The project h</w:t>
      </w:r>
      <w:r w:rsidR="009765FB">
        <w:rPr>
          <w:rFonts w:ascii="Open Sans" w:hAnsi="Open Sans" w:cs="Open Sans"/>
        </w:rPr>
        <w:t>as opened up opportunities for three</w:t>
      </w:r>
      <w:r w:rsidRPr="00D62B9A">
        <w:rPr>
          <w:rFonts w:ascii="Open Sans" w:hAnsi="Open Sans" w:cs="Open Sans"/>
        </w:rPr>
        <w:t xml:space="preserve"> participants to undertake </w:t>
      </w:r>
      <w:r w:rsidR="00D5491C" w:rsidRPr="00D62B9A">
        <w:rPr>
          <w:rFonts w:ascii="Open Sans" w:hAnsi="Open Sans" w:cs="Open Sans"/>
        </w:rPr>
        <w:t xml:space="preserve">CPD modules with the </w:t>
      </w:r>
      <w:r w:rsidR="007379CB">
        <w:rPr>
          <w:rFonts w:ascii="Open Sans" w:hAnsi="Open Sans" w:cs="Open Sans"/>
        </w:rPr>
        <w:t xml:space="preserve">UCL </w:t>
      </w:r>
      <w:r w:rsidR="009765FB">
        <w:rPr>
          <w:rFonts w:ascii="Open Sans" w:hAnsi="Open Sans" w:cs="Open Sans"/>
        </w:rPr>
        <w:t>IOE</w:t>
      </w:r>
      <w:r w:rsidR="007708D8">
        <w:rPr>
          <w:rFonts w:ascii="Open Sans" w:hAnsi="Open Sans" w:cs="Open Sans"/>
        </w:rPr>
        <w:t>, a</w:t>
      </w:r>
      <w:r w:rsidR="00CA6802" w:rsidRPr="00D62B9A">
        <w:rPr>
          <w:rFonts w:ascii="Open Sans" w:hAnsi="Open Sans" w:cs="Open Sans"/>
        </w:rPr>
        <w:t xml:space="preserve"> move that is in line</w:t>
      </w:r>
      <w:r w:rsidR="009765FB">
        <w:rPr>
          <w:rFonts w:ascii="Open Sans" w:hAnsi="Open Sans" w:cs="Open Sans"/>
        </w:rPr>
        <w:t xml:space="preserve"> with the encouragement in the Professional S</w:t>
      </w:r>
      <w:r w:rsidR="00CA6802" w:rsidRPr="00D62B9A">
        <w:rPr>
          <w:rFonts w:ascii="Open Sans" w:hAnsi="Open Sans" w:cs="Open Sans"/>
        </w:rPr>
        <w:t xml:space="preserve">tandards to </w:t>
      </w:r>
      <w:r w:rsidR="00CA6802" w:rsidRPr="00D62B9A">
        <w:rPr>
          <w:rFonts w:ascii="Open Sans" w:hAnsi="Open Sans" w:cs="Open Sans"/>
          <w:i/>
        </w:rPr>
        <w:t xml:space="preserve">“update knowledge of educational research to develop evidence-based </w:t>
      </w:r>
      <w:r w:rsidR="00E95C48" w:rsidRPr="00D62B9A">
        <w:rPr>
          <w:rFonts w:ascii="Open Sans" w:hAnsi="Open Sans" w:cs="Open Sans"/>
          <w:i/>
        </w:rPr>
        <w:t>practice &amp;</w:t>
      </w:r>
      <w:r w:rsidR="00CA6802" w:rsidRPr="00D62B9A">
        <w:rPr>
          <w:rFonts w:ascii="Open Sans" w:hAnsi="Open Sans" w:cs="Open Sans"/>
          <w:i/>
        </w:rPr>
        <w:t xml:space="preserve"> apply theoretical understanding of effective practice in teaching, learning and assessment drawing on research and other evidence”. </w:t>
      </w:r>
    </w:p>
    <w:p w14:paraId="470E7FFF" w14:textId="5D8929B2" w:rsidR="00FB2371" w:rsidRPr="00D62B9A" w:rsidRDefault="00FB2371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One of these participants </w:t>
      </w:r>
      <w:r w:rsidR="006109F7">
        <w:rPr>
          <w:rFonts w:ascii="Open Sans" w:hAnsi="Open Sans" w:cs="Open Sans"/>
        </w:rPr>
        <w:t>was</w:t>
      </w:r>
      <w:r w:rsidRPr="00D62B9A">
        <w:rPr>
          <w:rFonts w:ascii="Open Sans" w:hAnsi="Open Sans" w:cs="Open Sans"/>
        </w:rPr>
        <w:t xml:space="preserve"> given the opportunity to work as the associate peer</w:t>
      </w:r>
      <w:r w:rsidR="006109F7">
        <w:rPr>
          <w:rFonts w:ascii="Open Sans" w:hAnsi="Open Sans" w:cs="Open Sans"/>
        </w:rPr>
        <w:t xml:space="preserve"> adviser for the project. This wa</w:t>
      </w:r>
      <w:r w:rsidRPr="00D62B9A">
        <w:rPr>
          <w:rFonts w:ascii="Open Sans" w:hAnsi="Open Sans" w:cs="Open Sans"/>
        </w:rPr>
        <w:t xml:space="preserve">s a strategy that should ensure sustainability </w:t>
      </w:r>
      <w:r w:rsidR="009765FB">
        <w:rPr>
          <w:rFonts w:ascii="Open Sans" w:hAnsi="Open Sans" w:cs="Open Sans"/>
        </w:rPr>
        <w:t>as recommendations and</w:t>
      </w:r>
      <w:r w:rsidR="00CA6802" w:rsidRPr="00D62B9A">
        <w:rPr>
          <w:rFonts w:ascii="Open Sans" w:hAnsi="Open Sans" w:cs="Open Sans"/>
        </w:rPr>
        <w:t xml:space="preserve"> continued impact </w:t>
      </w:r>
      <w:r w:rsidR="00CA6802" w:rsidRPr="00D62B9A">
        <w:rPr>
          <w:rFonts w:ascii="Open Sans" w:hAnsi="Open Sans" w:cs="Open Sans"/>
        </w:rPr>
        <w:lastRenderedPageBreak/>
        <w:t xml:space="preserve">of the </w:t>
      </w:r>
      <w:r w:rsidRPr="00D62B9A">
        <w:rPr>
          <w:rFonts w:ascii="Open Sans" w:hAnsi="Open Sans" w:cs="Open Sans"/>
        </w:rPr>
        <w:t>project</w:t>
      </w:r>
      <w:r w:rsidR="00CA6802" w:rsidRPr="00D62B9A">
        <w:rPr>
          <w:rFonts w:ascii="Open Sans" w:hAnsi="Open Sans" w:cs="Open Sans"/>
        </w:rPr>
        <w:t xml:space="preserve"> will be implemented, measured and analysed as part of the module</w:t>
      </w:r>
      <w:r w:rsidRPr="00D62B9A">
        <w:rPr>
          <w:rFonts w:ascii="Open Sans" w:hAnsi="Open Sans" w:cs="Open Sans"/>
        </w:rPr>
        <w:t xml:space="preserve">. </w:t>
      </w:r>
    </w:p>
    <w:p w14:paraId="35C59A89" w14:textId="6F9169BF" w:rsidR="00D5491C" w:rsidRPr="00D62B9A" w:rsidRDefault="009E270F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All through the life of the project</w:t>
      </w:r>
      <w:r w:rsidR="005B74E1" w:rsidRPr="00D62B9A">
        <w:rPr>
          <w:rFonts w:ascii="Open Sans" w:hAnsi="Open Sans" w:cs="Open Sans"/>
        </w:rPr>
        <w:t xml:space="preserve">, </w:t>
      </w:r>
      <w:r w:rsidRPr="00D62B9A">
        <w:rPr>
          <w:rFonts w:ascii="Open Sans" w:hAnsi="Open Sans" w:cs="Open Sans"/>
        </w:rPr>
        <w:t>and hopefully beyond</w:t>
      </w:r>
      <w:r w:rsidR="005B74E1" w:rsidRPr="00D62B9A">
        <w:rPr>
          <w:rFonts w:ascii="Open Sans" w:hAnsi="Open Sans" w:cs="Open Sans"/>
        </w:rPr>
        <w:t>,</w:t>
      </w:r>
      <w:r w:rsidRPr="00D62B9A">
        <w:rPr>
          <w:rFonts w:ascii="Open Sans" w:hAnsi="Open Sans" w:cs="Open Sans"/>
        </w:rPr>
        <w:t xml:space="preserve"> there </w:t>
      </w:r>
      <w:r w:rsidR="007B1055" w:rsidRPr="00D62B9A">
        <w:rPr>
          <w:rFonts w:ascii="Open Sans" w:hAnsi="Open Sans" w:cs="Open Sans"/>
        </w:rPr>
        <w:t>has</w:t>
      </w:r>
      <w:r w:rsidRPr="00D62B9A">
        <w:rPr>
          <w:rFonts w:ascii="Open Sans" w:hAnsi="Open Sans" w:cs="Open Sans"/>
        </w:rPr>
        <w:t xml:space="preserve"> been evidence of practitioners </w:t>
      </w:r>
      <w:r w:rsidR="007B1055" w:rsidRPr="00D62B9A">
        <w:rPr>
          <w:rFonts w:ascii="Open Sans" w:hAnsi="Open Sans" w:cs="Open Sans"/>
        </w:rPr>
        <w:t>demonstrating</w:t>
      </w:r>
      <w:r w:rsidR="009C0C41" w:rsidRPr="00D62B9A">
        <w:rPr>
          <w:rFonts w:ascii="Open Sans" w:hAnsi="Open Sans" w:cs="Open Sans"/>
        </w:rPr>
        <w:t xml:space="preserve"> their commitment</w:t>
      </w:r>
      <w:r w:rsidR="009765FB">
        <w:rPr>
          <w:rFonts w:ascii="Open Sans" w:hAnsi="Open Sans" w:cs="Open Sans"/>
        </w:rPr>
        <w:t xml:space="preserve"> to the Professional S</w:t>
      </w:r>
      <w:r w:rsidRPr="00D62B9A">
        <w:rPr>
          <w:rFonts w:ascii="Open Sans" w:hAnsi="Open Sans" w:cs="Open Sans"/>
        </w:rPr>
        <w:t xml:space="preserve">tandards. </w:t>
      </w:r>
      <w:r w:rsidR="007B1055" w:rsidRPr="00D62B9A">
        <w:rPr>
          <w:rFonts w:ascii="Open Sans" w:hAnsi="Open Sans" w:cs="Open Sans"/>
        </w:rPr>
        <w:t xml:space="preserve"> As well as the example given earlier, p</w:t>
      </w:r>
      <w:r w:rsidRPr="00D62B9A">
        <w:rPr>
          <w:rFonts w:ascii="Open Sans" w:hAnsi="Open Sans" w:cs="Open Sans"/>
        </w:rPr>
        <w:t xml:space="preserve">ractitioners have </w:t>
      </w:r>
      <w:r w:rsidR="007B1055" w:rsidRPr="00D62B9A">
        <w:rPr>
          <w:rFonts w:ascii="Open Sans" w:hAnsi="Open Sans" w:cs="Open Sans"/>
        </w:rPr>
        <w:t xml:space="preserve">had the opportunity to </w:t>
      </w:r>
      <w:r w:rsidRPr="00D62B9A">
        <w:rPr>
          <w:rFonts w:ascii="Open Sans" w:hAnsi="Open Sans" w:cs="Open Sans"/>
        </w:rPr>
        <w:t>reflect on their practices and values and have encouraged colleagues to do so through the questi</w:t>
      </w:r>
      <w:r w:rsidR="009765FB">
        <w:rPr>
          <w:rFonts w:ascii="Open Sans" w:hAnsi="Open Sans" w:cs="Open Sans"/>
        </w:rPr>
        <w:t>ons used in the questionnaires and</w:t>
      </w:r>
      <w:r w:rsidRPr="00D62B9A">
        <w:rPr>
          <w:rFonts w:ascii="Open Sans" w:hAnsi="Open Sans" w:cs="Open Sans"/>
        </w:rPr>
        <w:t xml:space="preserve"> focus groups. </w:t>
      </w:r>
      <w:r w:rsidR="00FF765C" w:rsidRPr="00D62B9A">
        <w:rPr>
          <w:rFonts w:ascii="Open Sans" w:hAnsi="Open Sans" w:cs="Open Sans"/>
        </w:rPr>
        <w:t xml:space="preserve">They have built strong collaborative relationships especially with their colleagues from other colleges. </w:t>
      </w:r>
    </w:p>
    <w:p w14:paraId="5AC84E47" w14:textId="4BA64D8C" w:rsidR="004B08FC" w:rsidRPr="00D62B9A" w:rsidRDefault="004B08FC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Some of the practitioners have commented on the impact participating in the project has had on them:</w:t>
      </w:r>
    </w:p>
    <w:p w14:paraId="181688CF" w14:textId="02DD997F" w:rsidR="00743313" w:rsidRPr="00D62B9A" w:rsidRDefault="00743313" w:rsidP="00405B22">
      <w:pPr>
        <w:spacing w:after="120"/>
        <w:ind w:left="720"/>
        <w:rPr>
          <w:rFonts w:ascii="Open Sans" w:hAnsi="Open Sans" w:cs="Open Sans"/>
          <w:i/>
          <w:color w:val="007096"/>
        </w:rPr>
      </w:pPr>
      <w:r w:rsidRPr="00D62B9A">
        <w:rPr>
          <w:rFonts w:ascii="Open Sans" w:hAnsi="Open Sans" w:cs="Open Sans"/>
          <w:i/>
          <w:color w:val="007096"/>
        </w:rPr>
        <w:t>“</w:t>
      </w:r>
      <w:r w:rsidR="004B08FC" w:rsidRPr="00D62B9A">
        <w:rPr>
          <w:rFonts w:ascii="Open Sans" w:hAnsi="Open Sans" w:cs="Open Sans"/>
          <w:i/>
          <w:color w:val="007096"/>
        </w:rPr>
        <w:t xml:space="preserve">The project has been effective in focusing </w:t>
      </w:r>
      <w:r w:rsidRPr="00D62B9A">
        <w:rPr>
          <w:rFonts w:ascii="Open Sans" w:hAnsi="Open Sans" w:cs="Open Sans"/>
          <w:i/>
          <w:color w:val="007096"/>
        </w:rPr>
        <w:t xml:space="preserve">our </w:t>
      </w:r>
      <w:r w:rsidR="004B08FC" w:rsidRPr="00D62B9A">
        <w:rPr>
          <w:rFonts w:ascii="Open Sans" w:hAnsi="Open Sans" w:cs="Open Sans"/>
          <w:i/>
          <w:color w:val="007096"/>
        </w:rPr>
        <w:t>minds on the need to look at how we deliver E</w:t>
      </w:r>
      <w:r w:rsidR="009765FB">
        <w:rPr>
          <w:rFonts w:ascii="Open Sans" w:hAnsi="Open Sans" w:cs="Open Sans"/>
          <w:i/>
          <w:color w:val="007096"/>
        </w:rPr>
        <w:t>nglish and maths</w:t>
      </w:r>
      <w:r w:rsidR="004B08FC" w:rsidRPr="00D62B9A">
        <w:rPr>
          <w:rFonts w:ascii="Open Sans" w:hAnsi="Open Sans" w:cs="Open Sans"/>
          <w:i/>
          <w:color w:val="007096"/>
        </w:rPr>
        <w:t xml:space="preserve"> going forward, particularly with the need to look at students’ skills gaps/deficits using intelligence from exam board results and Initial assessments, moving away from the traditional model of re-teaching the whole syllabus to entire cohorts</w:t>
      </w:r>
      <w:r w:rsidR="007708D8">
        <w:rPr>
          <w:rFonts w:ascii="Open Sans" w:hAnsi="Open Sans" w:cs="Open Sans"/>
          <w:i/>
          <w:color w:val="007096"/>
        </w:rPr>
        <w:t>.</w:t>
      </w:r>
      <w:r w:rsidRPr="00D62B9A">
        <w:rPr>
          <w:rFonts w:ascii="Open Sans" w:hAnsi="Open Sans" w:cs="Open Sans"/>
          <w:i/>
          <w:color w:val="007096"/>
        </w:rPr>
        <w:t>”</w:t>
      </w:r>
    </w:p>
    <w:p w14:paraId="6BB25334" w14:textId="19FB860C" w:rsidR="004B08FC" w:rsidRPr="009765FB" w:rsidRDefault="00743313" w:rsidP="00405B22">
      <w:pPr>
        <w:spacing w:after="120"/>
        <w:ind w:left="720"/>
        <w:rPr>
          <w:rFonts w:ascii="Open Sans" w:hAnsi="Open Sans" w:cs="Open Sans"/>
          <w:i/>
          <w:color w:val="007096"/>
        </w:rPr>
      </w:pPr>
      <w:r w:rsidRPr="00D62B9A">
        <w:rPr>
          <w:rFonts w:ascii="Open Sans" w:hAnsi="Open Sans" w:cs="Open Sans"/>
          <w:i/>
          <w:color w:val="007096"/>
        </w:rPr>
        <w:t>“The visit to John Ruskin</w:t>
      </w:r>
      <w:r w:rsidR="009765FB">
        <w:rPr>
          <w:rFonts w:ascii="Open Sans" w:hAnsi="Open Sans" w:cs="Open Sans"/>
          <w:i/>
          <w:color w:val="007096"/>
        </w:rPr>
        <w:t xml:space="preserve"> College</w:t>
      </w:r>
      <w:r w:rsidRPr="00D62B9A">
        <w:rPr>
          <w:rFonts w:ascii="Open Sans" w:hAnsi="Open Sans" w:cs="Open Sans"/>
          <w:i/>
          <w:color w:val="007096"/>
        </w:rPr>
        <w:t xml:space="preserve"> to see their Initial and diagnostic assessment process was quite though</w:t>
      </w:r>
      <w:r w:rsidR="000F1F84">
        <w:rPr>
          <w:rFonts w:ascii="Open Sans" w:hAnsi="Open Sans" w:cs="Open Sans"/>
          <w:i/>
          <w:color w:val="007096"/>
        </w:rPr>
        <w:t>t</w:t>
      </w:r>
      <w:r w:rsidRPr="00D62B9A">
        <w:rPr>
          <w:rFonts w:ascii="Open Sans" w:hAnsi="Open Sans" w:cs="Open Sans"/>
          <w:i/>
          <w:color w:val="007096"/>
        </w:rPr>
        <w:t xml:space="preserve"> provoking. We have taken certain ideas from the visit to our </w:t>
      </w:r>
      <w:r w:rsidR="009765FB">
        <w:rPr>
          <w:rFonts w:ascii="Open Sans" w:hAnsi="Open Sans" w:cs="Open Sans"/>
          <w:i/>
          <w:color w:val="007096"/>
        </w:rPr>
        <w:t>information, advice and guidance</w:t>
      </w:r>
      <w:r w:rsidRPr="00D62B9A">
        <w:rPr>
          <w:rFonts w:ascii="Open Sans" w:hAnsi="Open Sans" w:cs="Open Sans"/>
          <w:i/>
          <w:color w:val="007096"/>
        </w:rPr>
        <w:t xml:space="preserve"> team</w:t>
      </w:r>
      <w:r w:rsidR="007708D8">
        <w:rPr>
          <w:rFonts w:ascii="Open Sans" w:hAnsi="Open Sans" w:cs="Open Sans"/>
          <w:i/>
          <w:color w:val="007096"/>
        </w:rPr>
        <w:t>.</w:t>
      </w:r>
      <w:r w:rsidRPr="00D62B9A">
        <w:rPr>
          <w:rFonts w:ascii="Open Sans" w:hAnsi="Open Sans" w:cs="Open Sans"/>
          <w:i/>
          <w:color w:val="007096"/>
        </w:rPr>
        <w:t>”</w:t>
      </w:r>
    </w:p>
    <w:p w14:paraId="516FDE0C" w14:textId="2B0F17D8" w:rsidR="004B08FC" w:rsidRPr="00D62B9A" w:rsidRDefault="00743313" w:rsidP="00405B22">
      <w:pPr>
        <w:spacing w:after="120"/>
        <w:ind w:left="720"/>
        <w:rPr>
          <w:rFonts w:ascii="Open Sans" w:hAnsi="Open Sans" w:cs="Open Sans"/>
          <w:i/>
          <w:color w:val="007096"/>
        </w:rPr>
      </w:pPr>
      <w:r w:rsidRPr="00D62B9A">
        <w:rPr>
          <w:rFonts w:ascii="Open Sans" w:hAnsi="Open Sans" w:cs="Open Sans"/>
          <w:i/>
          <w:color w:val="007096"/>
        </w:rPr>
        <w:t>“Our scheme(s) of work will be revamped for next academic session and t</w:t>
      </w:r>
      <w:r w:rsidR="006109F7">
        <w:rPr>
          <w:rFonts w:ascii="Open Sans" w:hAnsi="Open Sans" w:cs="Open Sans"/>
          <w:i/>
          <w:color w:val="007096"/>
        </w:rPr>
        <w:t>he way we induct students onto l</w:t>
      </w:r>
      <w:r w:rsidRPr="00D62B9A">
        <w:rPr>
          <w:rFonts w:ascii="Open Sans" w:hAnsi="Open Sans" w:cs="Open Sans"/>
          <w:i/>
          <w:color w:val="007096"/>
        </w:rPr>
        <w:t>evel 1 and 2 English courses will be reviewed</w:t>
      </w:r>
      <w:r w:rsidR="007708D8">
        <w:rPr>
          <w:rFonts w:ascii="Open Sans" w:hAnsi="Open Sans" w:cs="Open Sans"/>
          <w:i/>
          <w:color w:val="007096"/>
        </w:rPr>
        <w:t>.</w:t>
      </w:r>
      <w:r w:rsidRPr="00D62B9A">
        <w:rPr>
          <w:rFonts w:ascii="Open Sans" w:hAnsi="Open Sans" w:cs="Open Sans"/>
          <w:i/>
          <w:color w:val="007096"/>
        </w:rPr>
        <w:t>”</w:t>
      </w:r>
    </w:p>
    <w:p w14:paraId="4B098562" w14:textId="17EAF4C2" w:rsidR="007B1055" w:rsidRPr="00D62B9A" w:rsidRDefault="007B1055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Participants </w:t>
      </w:r>
      <w:r w:rsidR="006109F7">
        <w:rPr>
          <w:rFonts w:ascii="Open Sans" w:hAnsi="Open Sans" w:cs="Open Sans"/>
        </w:rPr>
        <w:t>presented</w:t>
      </w:r>
      <w:r w:rsidRPr="00D62B9A">
        <w:rPr>
          <w:rFonts w:ascii="Open Sans" w:hAnsi="Open Sans" w:cs="Open Sans"/>
        </w:rPr>
        <w:t xml:space="preserve"> their findings and recommendations, sharing ideas and resources at the conference </w:t>
      </w:r>
      <w:r w:rsidR="007972DE" w:rsidRPr="00D62B9A">
        <w:rPr>
          <w:rFonts w:ascii="Open Sans" w:hAnsi="Open Sans" w:cs="Open Sans"/>
        </w:rPr>
        <w:t>‘</w:t>
      </w:r>
      <w:r w:rsidR="005B74E1" w:rsidRPr="00D62B9A">
        <w:rPr>
          <w:rFonts w:ascii="Open Sans" w:hAnsi="Open Sans" w:cs="Open Sans"/>
          <w:i/>
        </w:rPr>
        <w:t>Post-16 English and mathematics: Where are we now?</w:t>
      </w:r>
      <w:r w:rsidRPr="00D62B9A">
        <w:rPr>
          <w:rFonts w:ascii="Open Sans" w:hAnsi="Open Sans" w:cs="Open Sans"/>
        </w:rPr>
        <w:t>’ organised by the</w:t>
      </w:r>
      <w:r w:rsidR="007379CB">
        <w:rPr>
          <w:rFonts w:ascii="Open Sans" w:hAnsi="Open Sans" w:cs="Open Sans"/>
        </w:rPr>
        <w:t xml:space="preserve"> UCL</w:t>
      </w:r>
      <w:r w:rsidRPr="00D62B9A">
        <w:rPr>
          <w:rFonts w:ascii="Open Sans" w:hAnsi="Open Sans" w:cs="Open Sans"/>
        </w:rPr>
        <w:t xml:space="preserve"> </w:t>
      </w:r>
      <w:r w:rsidR="009765FB">
        <w:rPr>
          <w:rFonts w:ascii="Open Sans" w:hAnsi="Open Sans" w:cs="Open Sans"/>
        </w:rPr>
        <w:t xml:space="preserve">IOE </w:t>
      </w:r>
      <w:r w:rsidR="006109F7">
        <w:rPr>
          <w:rFonts w:ascii="Open Sans" w:hAnsi="Open Sans" w:cs="Open Sans"/>
        </w:rPr>
        <w:t>on 17 June 2015. This wa</w:t>
      </w:r>
      <w:r w:rsidRPr="00D62B9A">
        <w:rPr>
          <w:rFonts w:ascii="Open Sans" w:hAnsi="Open Sans" w:cs="Open Sans"/>
        </w:rPr>
        <w:t>s part of the strategy to f</w:t>
      </w:r>
      <w:r w:rsidR="009765FB">
        <w:rPr>
          <w:rFonts w:ascii="Open Sans" w:hAnsi="Open Sans" w:cs="Open Sans"/>
        </w:rPr>
        <w:t>urther encourage collaborati</w:t>
      </w:r>
      <w:r w:rsidR="006109F7">
        <w:rPr>
          <w:rFonts w:ascii="Open Sans" w:hAnsi="Open Sans" w:cs="Open Sans"/>
        </w:rPr>
        <w:t>on and professional knowledge an</w:t>
      </w:r>
      <w:r w:rsidR="009765FB">
        <w:rPr>
          <w:rFonts w:ascii="Open Sans" w:hAnsi="Open Sans" w:cs="Open Sans"/>
        </w:rPr>
        <w:t>d</w:t>
      </w:r>
      <w:r w:rsidRPr="00D62B9A">
        <w:rPr>
          <w:rFonts w:ascii="Open Sans" w:hAnsi="Open Sans" w:cs="Open Sans"/>
        </w:rPr>
        <w:t xml:space="preserve"> understanding that will ensure outstanding </w:t>
      </w:r>
      <w:r w:rsidR="009765FB">
        <w:rPr>
          <w:rFonts w:ascii="Open Sans" w:hAnsi="Open Sans" w:cs="Open Sans"/>
        </w:rPr>
        <w:t>teaching, learning and assessment</w:t>
      </w:r>
      <w:r w:rsidRPr="00D62B9A">
        <w:rPr>
          <w:rFonts w:ascii="Open Sans" w:hAnsi="Open Sans" w:cs="Open Sans"/>
        </w:rPr>
        <w:t xml:space="preserve"> practices. </w:t>
      </w:r>
    </w:p>
    <w:p w14:paraId="42C0F7AE" w14:textId="2A43B49D" w:rsidR="00FF765C" w:rsidRDefault="00FF765C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three strands of the project have, directly or otherwise, looked at how best to identify learners’ needs &amp; enable them develop strategies to help them overcome their barriers to </w:t>
      </w:r>
      <w:r w:rsidR="009765FB">
        <w:rPr>
          <w:rFonts w:ascii="Open Sans" w:hAnsi="Open Sans" w:cs="Open Sans"/>
        </w:rPr>
        <w:t>developing their English skills.</w:t>
      </w:r>
    </w:p>
    <w:p w14:paraId="7BC59EAF" w14:textId="77777777" w:rsidR="001803EB" w:rsidRPr="00D62B9A" w:rsidRDefault="001803EB" w:rsidP="00405B22">
      <w:pPr>
        <w:spacing w:after="120"/>
        <w:rPr>
          <w:rFonts w:ascii="Open Sans" w:hAnsi="Open Sans" w:cs="Open Sans"/>
        </w:rPr>
      </w:pPr>
    </w:p>
    <w:p w14:paraId="7985416E" w14:textId="0181AA6B" w:rsidR="00422CD8" w:rsidRPr="00D62B9A" w:rsidRDefault="00CA5C18" w:rsidP="00405B22">
      <w:pPr>
        <w:spacing w:after="120"/>
        <w:rPr>
          <w:rFonts w:ascii="Open Sans" w:hAnsi="Open Sans" w:cs="Open Sans"/>
          <w:color w:val="007096"/>
        </w:rPr>
      </w:pPr>
      <w:r w:rsidRPr="00D62B9A">
        <w:rPr>
          <w:rFonts w:ascii="Open Sans" w:hAnsi="Open Sans" w:cs="Open Sans"/>
          <w:b/>
          <w:color w:val="007096"/>
        </w:rPr>
        <w:t xml:space="preserve"> </w:t>
      </w:r>
      <w:r w:rsidR="00126597" w:rsidRPr="00D62B9A">
        <w:rPr>
          <w:rFonts w:ascii="Open Sans" w:hAnsi="Open Sans" w:cs="Open Sans"/>
          <w:b/>
          <w:color w:val="007096"/>
        </w:rPr>
        <w:t>Lessons learned</w:t>
      </w:r>
    </w:p>
    <w:p w14:paraId="082C217C" w14:textId="05B443A1" w:rsidR="00F46010" w:rsidRPr="009765FB" w:rsidRDefault="00F46010" w:rsidP="00405B22">
      <w:pPr>
        <w:pStyle w:val="ListParagraph"/>
        <w:spacing w:after="120"/>
        <w:ind w:left="0"/>
        <w:rPr>
          <w:rFonts w:ascii="Open Sans" w:hAnsi="Open Sans" w:cs="Open Sans"/>
        </w:rPr>
      </w:pPr>
      <w:r w:rsidRPr="009765FB">
        <w:rPr>
          <w:rFonts w:ascii="Open Sans" w:hAnsi="Open Sans" w:cs="Open Sans"/>
        </w:rPr>
        <w:t xml:space="preserve">Initially, it was very difficult keeping in touch with the </w:t>
      </w:r>
      <w:r w:rsidR="009765FB" w:rsidRPr="009765FB">
        <w:rPr>
          <w:rFonts w:ascii="Open Sans" w:hAnsi="Open Sans" w:cs="Open Sans"/>
        </w:rPr>
        <w:t>groups and keeping them active</w:t>
      </w:r>
      <w:r w:rsidRPr="009765FB">
        <w:rPr>
          <w:rFonts w:ascii="Open Sans" w:hAnsi="Open Sans" w:cs="Open Sans"/>
        </w:rPr>
        <w:t xml:space="preserve"> as members were scattered all around London.  However, with lots of encouragement from the lead, responses began to filter in and practitioners began to manage their time better. </w:t>
      </w:r>
    </w:p>
    <w:p w14:paraId="37EBFA75" w14:textId="6DE1A930" w:rsidR="00DB5ABC" w:rsidRPr="00045D5C" w:rsidRDefault="0043698B" w:rsidP="00405B22">
      <w:p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Collaboration between project members, informal networks and support</w:t>
      </w:r>
      <w:r w:rsidR="00045D5C" w:rsidRPr="00045D5C">
        <w:rPr>
          <w:rFonts w:ascii="Open Sans" w:hAnsi="Open Sans" w:cs="Open Sans"/>
        </w:rPr>
        <w:t xml:space="preserve"> </w:t>
      </w:r>
      <w:r w:rsidR="00F95550">
        <w:rPr>
          <w:rFonts w:ascii="Open Sans" w:hAnsi="Open Sans" w:cs="Open Sans"/>
        </w:rPr>
        <w:t>were</w:t>
      </w:r>
      <w:r w:rsidR="00045D5C" w:rsidRPr="00045D5C">
        <w:rPr>
          <w:rFonts w:ascii="Open Sans" w:hAnsi="Open Sans" w:cs="Open Sans"/>
        </w:rPr>
        <w:t xml:space="preserve"> unexpected benefit</w:t>
      </w:r>
      <w:r w:rsidR="00F95550">
        <w:rPr>
          <w:rFonts w:ascii="Open Sans" w:hAnsi="Open Sans" w:cs="Open Sans"/>
        </w:rPr>
        <w:t>s</w:t>
      </w:r>
      <w:r w:rsidR="00045D5C" w:rsidRPr="00045D5C">
        <w:rPr>
          <w:rFonts w:ascii="Open Sans" w:hAnsi="Open Sans" w:cs="Open Sans"/>
        </w:rPr>
        <w:t xml:space="preserve"> realised as a result of the project</w:t>
      </w:r>
      <w:r w:rsidRPr="00045D5C">
        <w:rPr>
          <w:rFonts w:ascii="Open Sans" w:hAnsi="Open Sans" w:cs="Open Sans"/>
        </w:rPr>
        <w:t xml:space="preserve">. </w:t>
      </w:r>
      <w:r w:rsidR="006109F7">
        <w:rPr>
          <w:rFonts w:ascii="Open Sans" w:hAnsi="Open Sans" w:cs="Open Sans"/>
        </w:rPr>
        <w:t xml:space="preserve">So was </w:t>
      </w:r>
      <w:r w:rsidR="006109F7">
        <w:rPr>
          <w:rFonts w:ascii="Open Sans" w:hAnsi="Open Sans" w:cs="Open Sans"/>
        </w:rPr>
        <w:lastRenderedPageBreak/>
        <w:t>the o</w:t>
      </w:r>
      <w:r w:rsidRPr="00045D5C">
        <w:rPr>
          <w:rFonts w:ascii="Open Sans" w:hAnsi="Open Sans" w:cs="Open Sans"/>
        </w:rPr>
        <w:t xml:space="preserve">pportunity to discuss and consider new ideas that were not in the original brief – flexibility </w:t>
      </w:r>
      <w:r w:rsidR="00F46010" w:rsidRPr="00045D5C">
        <w:rPr>
          <w:rFonts w:ascii="Open Sans" w:hAnsi="Open Sans" w:cs="Open Sans"/>
        </w:rPr>
        <w:t xml:space="preserve">was </w:t>
      </w:r>
      <w:r w:rsidRPr="00045D5C">
        <w:rPr>
          <w:rFonts w:ascii="Open Sans" w:hAnsi="Open Sans" w:cs="Open Sans"/>
        </w:rPr>
        <w:t>key.</w:t>
      </w:r>
      <w:r w:rsidR="00B23374" w:rsidRPr="00045D5C">
        <w:rPr>
          <w:rFonts w:ascii="Open Sans" w:hAnsi="Open Sans" w:cs="Open Sans"/>
        </w:rPr>
        <w:t xml:space="preserve"> The project has enabled colleges to expand their knowledge, try new ideas, train a large number of staff, </w:t>
      </w:r>
      <w:r w:rsidR="00F46010" w:rsidRPr="00045D5C">
        <w:rPr>
          <w:rFonts w:ascii="Open Sans" w:hAnsi="Open Sans" w:cs="Open Sans"/>
        </w:rPr>
        <w:t>and enable</w:t>
      </w:r>
      <w:r w:rsidR="00B23374" w:rsidRPr="00045D5C">
        <w:rPr>
          <w:rFonts w:ascii="Open Sans" w:hAnsi="Open Sans" w:cs="Open Sans"/>
        </w:rPr>
        <w:t xml:space="preserve"> new research. </w:t>
      </w:r>
    </w:p>
    <w:p w14:paraId="4C135F97" w14:textId="658C3CFD" w:rsidR="00B7169A" w:rsidRPr="00045D5C" w:rsidRDefault="00045D5C" w:rsidP="00405B22">
      <w:p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Next time, the project would d</w:t>
      </w:r>
      <w:r w:rsidR="00F46010" w:rsidRPr="00045D5C">
        <w:rPr>
          <w:rFonts w:ascii="Open Sans" w:hAnsi="Open Sans" w:cs="Open Sans"/>
        </w:rPr>
        <w:t>efine and agree strategy from the beginning, not try to do too much!</w:t>
      </w:r>
      <w:r w:rsidR="0028145D" w:rsidRPr="00045D5C">
        <w:rPr>
          <w:rFonts w:ascii="Open Sans" w:hAnsi="Open Sans" w:cs="Open Sans"/>
        </w:rPr>
        <w:t xml:space="preserve">  The project became bi</w:t>
      </w:r>
      <w:r w:rsidR="006109F7">
        <w:rPr>
          <w:rFonts w:ascii="Open Sans" w:hAnsi="Open Sans" w:cs="Open Sans"/>
        </w:rPr>
        <w:t>gger than originally planned, which was good for collaboration and</w:t>
      </w:r>
      <w:r w:rsidR="0028145D" w:rsidRPr="00045D5C">
        <w:rPr>
          <w:rFonts w:ascii="Open Sans" w:hAnsi="Open Sans" w:cs="Open Sans"/>
        </w:rPr>
        <w:t xml:space="preserve"> sustainability</w:t>
      </w:r>
      <w:r w:rsidR="006109F7">
        <w:rPr>
          <w:rFonts w:ascii="Open Sans" w:hAnsi="Open Sans" w:cs="Open Sans"/>
        </w:rPr>
        <w:t>.</w:t>
      </w:r>
    </w:p>
    <w:p w14:paraId="2CF95E83" w14:textId="6E08D038" w:rsidR="00FA45CA" w:rsidRPr="009765FB" w:rsidRDefault="00045D5C" w:rsidP="00405B22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Advice for others includes:</w:t>
      </w:r>
    </w:p>
    <w:p w14:paraId="518E2AF7" w14:textId="43FEF814" w:rsidR="00FA45CA" w:rsidRPr="00045D5C" w:rsidRDefault="0043698B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Pre</w:t>
      </w:r>
      <w:r w:rsidR="005B74E1" w:rsidRPr="00045D5C">
        <w:rPr>
          <w:rFonts w:ascii="Open Sans" w:hAnsi="Open Sans" w:cs="Open Sans"/>
        </w:rPr>
        <w:t>-</w:t>
      </w:r>
      <w:r w:rsidRPr="00045D5C">
        <w:rPr>
          <w:rFonts w:ascii="Open Sans" w:hAnsi="Open Sans" w:cs="Open Sans"/>
        </w:rPr>
        <w:t xml:space="preserve">plan meetings so that they are in diaries early in the project. </w:t>
      </w:r>
    </w:p>
    <w:p w14:paraId="35C9000F" w14:textId="77777777" w:rsidR="00FA45CA" w:rsidRPr="00045D5C" w:rsidRDefault="0028145D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Develop t</w:t>
      </w:r>
      <w:r w:rsidR="0043698B" w:rsidRPr="00045D5C">
        <w:rPr>
          <w:rFonts w:ascii="Open Sans" w:hAnsi="Open Sans" w:cs="Open Sans"/>
        </w:rPr>
        <w:t xml:space="preserve">emplates for project management. </w:t>
      </w:r>
    </w:p>
    <w:p w14:paraId="4AB3D93B" w14:textId="77777777" w:rsidR="00FA45CA" w:rsidRPr="00045D5C" w:rsidRDefault="0043698B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Lead needs to be strong, collaborative and proactive and be able to give a considerable amount of time to the work</w:t>
      </w:r>
      <w:r w:rsidR="00B23374" w:rsidRPr="00045D5C">
        <w:rPr>
          <w:rFonts w:ascii="Open Sans" w:hAnsi="Open Sans" w:cs="Open Sans"/>
        </w:rPr>
        <w:t xml:space="preserve">. </w:t>
      </w:r>
      <w:r w:rsidRPr="00045D5C">
        <w:rPr>
          <w:rFonts w:ascii="Open Sans" w:hAnsi="Open Sans" w:cs="Open Sans"/>
        </w:rPr>
        <w:t xml:space="preserve"> </w:t>
      </w:r>
    </w:p>
    <w:p w14:paraId="19FEB313" w14:textId="3C769886" w:rsidR="00FA45CA" w:rsidRPr="00045D5C" w:rsidRDefault="00B23374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Be clear about deadlines and be prepared to chase participants. Keep focused on outcomes.</w:t>
      </w:r>
    </w:p>
    <w:p w14:paraId="144C94C7" w14:textId="77777777" w:rsidR="00FA45CA" w:rsidRPr="00045D5C" w:rsidRDefault="00B23374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>Use some of the money from the bid to secure some admin support</w:t>
      </w:r>
      <w:r w:rsidR="00FA45CA" w:rsidRPr="00045D5C">
        <w:rPr>
          <w:rFonts w:ascii="Open Sans" w:hAnsi="Open Sans" w:cs="Open Sans"/>
        </w:rPr>
        <w:t xml:space="preserve"> </w:t>
      </w:r>
    </w:p>
    <w:p w14:paraId="06CECA3F" w14:textId="667A917F" w:rsidR="00B23374" w:rsidRPr="00045D5C" w:rsidRDefault="00FA45CA" w:rsidP="00405B22">
      <w:pPr>
        <w:pStyle w:val="ListParagraph"/>
        <w:numPr>
          <w:ilvl w:val="0"/>
          <w:numId w:val="5"/>
        </w:numPr>
        <w:spacing w:after="120"/>
        <w:rPr>
          <w:rFonts w:ascii="Open Sans" w:hAnsi="Open Sans" w:cs="Open Sans"/>
        </w:rPr>
      </w:pPr>
      <w:r w:rsidRPr="00045D5C">
        <w:rPr>
          <w:rFonts w:ascii="Open Sans" w:hAnsi="Open Sans" w:cs="Open Sans"/>
        </w:rPr>
        <w:t xml:space="preserve">Introduce a ‘get-away’ period </w:t>
      </w:r>
      <w:r w:rsidR="00F95550">
        <w:rPr>
          <w:rFonts w:ascii="Open Sans" w:hAnsi="Open Sans" w:cs="Open Sans"/>
        </w:rPr>
        <w:t xml:space="preserve">to </w:t>
      </w:r>
      <w:r w:rsidRPr="00045D5C">
        <w:rPr>
          <w:rFonts w:ascii="Open Sans" w:hAnsi="Open Sans" w:cs="Open Sans"/>
        </w:rPr>
        <w:t xml:space="preserve">allow practitioners </w:t>
      </w:r>
      <w:r w:rsidR="00F95550">
        <w:rPr>
          <w:rFonts w:ascii="Open Sans" w:hAnsi="Open Sans" w:cs="Open Sans"/>
        </w:rPr>
        <w:t xml:space="preserve">to </w:t>
      </w:r>
      <w:r w:rsidR="00045D5C">
        <w:rPr>
          <w:rFonts w:ascii="Open Sans" w:hAnsi="Open Sans" w:cs="Open Sans"/>
        </w:rPr>
        <w:t>get out of their busy schedule and</w:t>
      </w:r>
      <w:r w:rsidRPr="00045D5C">
        <w:rPr>
          <w:rFonts w:ascii="Open Sans" w:hAnsi="Open Sans" w:cs="Open Sans"/>
        </w:rPr>
        <w:t xml:space="preserve"> have quality thinking time.  </w:t>
      </w:r>
    </w:p>
    <w:p w14:paraId="577F52B7" w14:textId="77777777" w:rsidR="005221FE" w:rsidRDefault="005221FE" w:rsidP="00405B22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</w:p>
    <w:p w14:paraId="4631744E" w14:textId="77777777" w:rsidR="000D4BB0" w:rsidRPr="00D62B9A" w:rsidRDefault="000D4BB0" w:rsidP="00405B22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D62B9A">
        <w:rPr>
          <w:rFonts w:ascii="Open Sans" w:hAnsi="Open Sans" w:cs="Open Sans"/>
          <w:color w:val="007096"/>
          <w:sz w:val="22"/>
          <w:szCs w:val="22"/>
        </w:rPr>
        <w:t>Sustainability</w:t>
      </w:r>
      <w:r w:rsidR="00E8773A" w:rsidRPr="00D62B9A">
        <w:rPr>
          <w:rFonts w:ascii="Open Sans" w:hAnsi="Open Sans" w:cs="Open Sans"/>
          <w:color w:val="007096"/>
          <w:sz w:val="22"/>
          <w:szCs w:val="22"/>
        </w:rPr>
        <w:t xml:space="preserve"> and transferability</w:t>
      </w:r>
      <w:r w:rsidR="00606B82" w:rsidRPr="00D62B9A">
        <w:rPr>
          <w:rFonts w:ascii="Open Sans" w:hAnsi="Open Sans" w:cs="Open Sans"/>
          <w:color w:val="007096"/>
          <w:sz w:val="22"/>
          <w:szCs w:val="22"/>
        </w:rPr>
        <w:t xml:space="preserve"> </w:t>
      </w:r>
    </w:p>
    <w:p w14:paraId="50114F36" w14:textId="10F2DC63" w:rsidR="00FA45CA" w:rsidRPr="00D62B9A" w:rsidRDefault="00FA45CA" w:rsidP="00405B22">
      <w:p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The areas covered by the project </w:t>
      </w:r>
      <w:r w:rsidR="006109F7">
        <w:rPr>
          <w:rFonts w:ascii="Open Sans" w:hAnsi="Open Sans" w:cs="Open Sans"/>
        </w:rPr>
        <w:t>we</w:t>
      </w:r>
      <w:r w:rsidR="00C74F60" w:rsidRPr="00D62B9A">
        <w:rPr>
          <w:rFonts w:ascii="Open Sans" w:hAnsi="Open Sans" w:cs="Open Sans"/>
        </w:rPr>
        <w:t xml:space="preserve">re areas that all colleges are either developing or improving, especially with the government policy that expects all learners on the study programmes to be progressing towards a C grade in GCSE if they have not already achieved it or improving on their skills if they have. As a result, practitioners are keen to ensure the sustainability of this project and some of the plans to do so include: </w:t>
      </w:r>
    </w:p>
    <w:p w14:paraId="4303053E" w14:textId="7715ABDA" w:rsidR="002B4E47" w:rsidRPr="00D62B9A" w:rsidRDefault="00743313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Continuing to</w:t>
      </w:r>
      <w:r w:rsidR="00C74F60" w:rsidRPr="00D62B9A">
        <w:rPr>
          <w:rFonts w:ascii="Open Sans" w:hAnsi="Open Sans" w:cs="Open Sans"/>
        </w:rPr>
        <w:t xml:space="preserve"> develop collaborative professional </w:t>
      </w:r>
      <w:r w:rsidR="0028145D" w:rsidRPr="00D62B9A">
        <w:rPr>
          <w:rFonts w:ascii="Open Sans" w:hAnsi="Open Sans" w:cs="Open Sans"/>
        </w:rPr>
        <w:t xml:space="preserve">relationships </w:t>
      </w:r>
      <w:r w:rsidR="00C74F60" w:rsidRPr="00D62B9A">
        <w:rPr>
          <w:rFonts w:ascii="Open Sans" w:hAnsi="Open Sans" w:cs="Open Sans"/>
        </w:rPr>
        <w:t xml:space="preserve">by </w:t>
      </w:r>
      <w:r w:rsidR="0028145D" w:rsidRPr="00D62B9A">
        <w:rPr>
          <w:rFonts w:ascii="Open Sans" w:hAnsi="Open Sans" w:cs="Open Sans"/>
        </w:rPr>
        <w:t>shar</w:t>
      </w:r>
      <w:r w:rsidR="00045D5C">
        <w:rPr>
          <w:rFonts w:ascii="Open Sans" w:hAnsi="Open Sans" w:cs="Open Sans"/>
        </w:rPr>
        <w:t>ing information,</w:t>
      </w:r>
      <w:r w:rsidR="0028145D" w:rsidRPr="00D62B9A">
        <w:rPr>
          <w:rFonts w:ascii="Open Sans" w:hAnsi="Open Sans" w:cs="Open Sans"/>
        </w:rPr>
        <w:t xml:space="preserve"> ideas and </w:t>
      </w:r>
      <w:r w:rsidR="002B4E47" w:rsidRPr="00D62B9A">
        <w:rPr>
          <w:rFonts w:ascii="Open Sans" w:hAnsi="Open Sans" w:cs="Open Sans"/>
        </w:rPr>
        <w:t>resources t</w:t>
      </w:r>
      <w:r w:rsidR="00045D5C">
        <w:rPr>
          <w:rFonts w:ascii="Open Sans" w:hAnsi="Open Sans" w:cs="Open Sans"/>
        </w:rPr>
        <w:t>hrough joint training sessions and</w:t>
      </w:r>
      <w:r w:rsidR="002B4E47" w:rsidRPr="00D62B9A">
        <w:rPr>
          <w:rFonts w:ascii="Open Sans" w:hAnsi="Open Sans" w:cs="Open Sans"/>
        </w:rPr>
        <w:t xml:space="preserve"> conferences</w:t>
      </w:r>
      <w:r w:rsidR="00C74F60" w:rsidRPr="00D62B9A">
        <w:rPr>
          <w:rFonts w:ascii="Open Sans" w:hAnsi="Open Sans" w:cs="Open Sans"/>
        </w:rPr>
        <w:t>,</w:t>
      </w:r>
      <w:r w:rsidR="00045D5C">
        <w:rPr>
          <w:rFonts w:ascii="Open Sans" w:hAnsi="Open Sans" w:cs="Open Sans"/>
        </w:rPr>
        <w:t xml:space="preserve"> blogs and</w:t>
      </w:r>
      <w:r w:rsidR="00576A70">
        <w:rPr>
          <w:rFonts w:ascii="Open Sans" w:hAnsi="Open Sans" w:cs="Open Sans"/>
        </w:rPr>
        <w:t xml:space="preserve"> social network</w:t>
      </w:r>
      <w:r w:rsidRPr="00D62B9A">
        <w:rPr>
          <w:rFonts w:ascii="Open Sans" w:hAnsi="Open Sans" w:cs="Open Sans"/>
        </w:rPr>
        <w:t>. This is how one of the practitioners plans to do this:</w:t>
      </w:r>
    </w:p>
    <w:p w14:paraId="15E534F1" w14:textId="02F5B33E" w:rsidR="00743313" w:rsidRPr="00D62B9A" w:rsidRDefault="00F95550" w:rsidP="00405B22">
      <w:pPr>
        <w:spacing w:after="120"/>
        <w:ind w:left="108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743313" w:rsidRPr="00D62B9A">
        <w:rPr>
          <w:rFonts w:ascii="Open Sans" w:hAnsi="Open Sans" w:cs="Open Sans"/>
          <w:i/>
          <w:color w:val="007096"/>
        </w:rPr>
        <w:t xml:space="preserve">Even </w:t>
      </w:r>
      <w:r w:rsidR="00045D5C">
        <w:rPr>
          <w:rFonts w:ascii="Open Sans" w:hAnsi="Open Sans" w:cs="Open Sans"/>
          <w:i/>
          <w:color w:val="007096"/>
        </w:rPr>
        <w:t xml:space="preserve">though I’m leaving Lewisham </w:t>
      </w:r>
      <w:r w:rsidR="00743313" w:rsidRPr="00D62B9A">
        <w:rPr>
          <w:rFonts w:ascii="Open Sans" w:hAnsi="Open Sans" w:cs="Open Sans"/>
          <w:i/>
          <w:color w:val="007096"/>
        </w:rPr>
        <w:t>Southwark College at the end of June, I hope to bring one of our English improvement practitioner</w:t>
      </w:r>
      <w:r>
        <w:rPr>
          <w:rFonts w:ascii="Open Sans" w:hAnsi="Open Sans" w:cs="Open Sans"/>
          <w:i/>
          <w:color w:val="007096"/>
        </w:rPr>
        <w:t>s</w:t>
      </w:r>
      <w:r w:rsidR="00743313" w:rsidRPr="00D62B9A">
        <w:rPr>
          <w:rFonts w:ascii="Open Sans" w:hAnsi="Open Sans" w:cs="Open Sans"/>
          <w:i/>
          <w:color w:val="007096"/>
        </w:rPr>
        <w:t xml:space="preserve"> and the Head of English to the events on 17 June and 30</w:t>
      </w:r>
      <w:r w:rsidR="00576A70">
        <w:rPr>
          <w:rFonts w:ascii="Open Sans" w:hAnsi="Open Sans" w:cs="Open Sans"/>
          <w:i/>
          <w:color w:val="007096"/>
        </w:rPr>
        <w:t xml:space="preserve"> </w:t>
      </w:r>
      <w:r w:rsidR="00743313" w:rsidRPr="00D62B9A">
        <w:rPr>
          <w:rFonts w:ascii="Open Sans" w:hAnsi="Open Sans" w:cs="Open Sans"/>
          <w:i/>
          <w:color w:val="007096"/>
        </w:rPr>
        <w:t>June to ensure links between Lewisham Southwark</w:t>
      </w:r>
      <w:r w:rsidR="00045D5C">
        <w:rPr>
          <w:rFonts w:ascii="Open Sans" w:hAnsi="Open Sans" w:cs="Open Sans"/>
          <w:i/>
          <w:color w:val="007096"/>
        </w:rPr>
        <w:t xml:space="preserve"> College and those involved in the p</w:t>
      </w:r>
      <w:r w:rsidR="00743313" w:rsidRPr="00D62B9A">
        <w:rPr>
          <w:rFonts w:ascii="Open Sans" w:hAnsi="Open Sans" w:cs="Open Sans"/>
          <w:i/>
          <w:color w:val="007096"/>
        </w:rPr>
        <w:t>an-London project are maintained</w:t>
      </w:r>
      <w:r>
        <w:rPr>
          <w:rFonts w:ascii="Open Sans" w:hAnsi="Open Sans" w:cs="Open Sans"/>
          <w:i/>
          <w:color w:val="007096"/>
        </w:rPr>
        <w:t>.</w:t>
      </w:r>
      <w:r w:rsidR="00743313" w:rsidRPr="00D62B9A">
        <w:rPr>
          <w:rFonts w:ascii="Open Sans" w:hAnsi="Open Sans" w:cs="Open Sans"/>
          <w:i/>
          <w:color w:val="007096"/>
        </w:rPr>
        <w:t>”</w:t>
      </w:r>
    </w:p>
    <w:p w14:paraId="7FC15BCC" w14:textId="1D33BA7D" w:rsidR="00C74F60" w:rsidRPr="00D62B9A" w:rsidRDefault="00C74F60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 xml:space="preserve">Identifying opportunities for CPD such as that offered by the </w:t>
      </w:r>
      <w:r w:rsidR="004D3C3F">
        <w:rPr>
          <w:rFonts w:ascii="Open Sans" w:hAnsi="Open Sans" w:cs="Open Sans"/>
        </w:rPr>
        <w:t xml:space="preserve">UCL </w:t>
      </w:r>
      <w:r w:rsidR="00045D5C">
        <w:rPr>
          <w:rFonts w:ascii="Open Sans" w:hAnsi="Open Sans" w:cs="Open Sans"/>
        </w:rPr>
        <w:t>IOE</w:t>
      </w:r>
      <w:r w:rsidR="006D3D41">
        <w:rPr>
          <w:rFonts w:ascii="Open Sans" w:hAnsi="Open Sans" w:cs="Open Sans"/>
        </w:rPr>
        <w:t>.</w:t>
      </w:r>
    </w:p>
    <w:p w14:paraId="6253D15E" w14:textId="61523374" w:rsidR="00C74F60" w:rsidRPr="00D62B9A" w:rsidRDefault="00C74F60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Involving other colleges and colleagues who were not directly part of the project by allowing share</w:t>
      </w:r>
      <w:r w:rsidR="000F1F84">
        <w:rPr>
          <w:rFonts w:ascii="Open Sans" w:hAnsi="Open Sans" w:cs="Open Sans"/>
        </w:rPr>
        <w:t>d</w:t>
      </w:r>
      <w:r w:rsidRPr="00D62B9A">
        <w:rPr>
          <w:rFonts w:ascii="Open Sans" w:hAnsi="Open Sans" w:cs="Open Sans"/>
        </w:rPr>
        <w:t xml:space="preserve"> ideas and resources e.g</w:t>
      </w:r>
      <w:r w:rsidR="00045D5C">
        <w:rPr>
          <w:rFonts w:ascii="Open Sans" w:hAnsi="Open Sans" w:cs="Open Sans"/>
        </w:rPr>
        <w:t xml:space="preserve">. </w:t>
      </w:r>
      <w:r w:rsidR="00045D5C">
        <w:rPr>
          <w:rFonts w:ascii="Open Sans" w:hAnsi="Open Sans" w:cs="Open Sans"/>
        </w:rPr>
        <w:lastRenderedPageBreak/>
        <w:t>Barking &amp; Dagenham College</w:t>
      </w:r>
      <w:r w:rsidRPr="00D62B9A">
        <w:rPr>
          <w:rFonts w:ascii="Open Sans" w:hAnsi="Open Sans" w:cs="Open Sans"/>
        </w:rPr>
        <w:t xml:space="preserve"> sharing the assessment tool even though it was not a di</w:t>
      </w:r>
      <w:r w:rsidR="006D3D41">
        <w:rPr>
          <w:rFonts w:ascii="Open Sans" w:hAnsi="Open Sans" w:cs="Open Sans"/>
        </w:rPr>
        <w:t>rect resource from this project.</w:t>
      </w:r>
    </w:p>
    <w:p w14:paraId="65ED028C" w14:textId="1C35C9E3" w:rsidR="0028145D" w:rsidRPr="00D62B9A" w:rsidRDefault="000F1F84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Encouraging tho</w:t>
      </w:r>
      <w:r w:rsidR="00C74F60" w:rsidRPr="00D62B9A">
        <w:rPr>
          <w:rFonts w:ascii="Open Sans" w:hAnsi="Open Sans" w:cs="Open Sans"/>
        </w:rPr>
        <w:t xml:space="preserve">se who are undertaking the </w:t>
      </w:r>
      <w:r w:rsidR="0028145D" w:rsidRPr="00D62B9A">
        <w:rPr>
          <w:rFonts w:ascii="Open Sans" w:hAnsi="Open Sans" w:cs="Open Sans"/>
        </w:rPr>
        <w:t xml:space="preserve">CPD modules </w:t>
      </w:r>
      <w:r w:rsidR="00C74F60" w:rsidRPr="00D62B9A">
        <w:rPr>
          <w:rFonts w:ascii="Open Sans" w:hAnsi="Open Sans" w:cs="Open Sans"/>
        </w:rPr>
        <w:t xml:space="preserve">to look at the issues </w:t>
      </w:r>
      <w:proofErr w:type="gramStart"/>
      <w:r w:rsidR="00C74F60" w:rsidRPr="00D62B9A">
        <w:rPr>
          <w:rFonts w:ascii="Open Sans" w:hAnsi="Open Sans" w:cs="Open Sans"/>
        </w:rPr>
        <w:t>raised</w:t>
      </w:r>
      <w:proofErr w:type="gramEnd"/>
      <w:r w:rsidR="00C74F60" w:rsidRPr="00D62B9A">
        <w:rPr>
          <w:rFonts w:ascii="Open Sans" w:hAnsi="Open Sans" w:cs="Open Sans"/>
        </w:rPr>
        <w:t xml:space="preserve"> from this project </w:t>
      </w:r>
      <w:r w:rsidR="0028145D" w:rsidRPr="00D62B9A">
        <w:rPr>
          <w:rFonts w:ascii="Open Sans" w:hAnsi="Open Sans" w:cs="Open Sans"/>
        </w:rPr>
        <w:t xml:space="preserve">in greater </w:t>
      </w:r>
      <w:r w:rsidR="00247738" w:rsidRPr="00D62B9A">
        <w:rPr>
          <w:rFonts w:ascii="Open Sans" w:hAnsi="Open Sans" w:cs="Open Sans"/>
        </w:rPr>
        <w:t xml:space="preserve">depths and </w:t>
      </w:r>
      <w:r w:rsidR="0028145D" w:rsidRPr="00D62B9A">
        <w:rPr>
          <w:rFonts w:ascii="Open Sans" w:hAnsi="Open Sans" w:cs="Open Sans"/>
        </w:rPr>
        <w:t xml:space="preserve">continue to act as link persons to the project </w:t>
      </w:r>
      <w:r w:rsidR="00247738" w:rsidRPr="00D62B9A">
        <w:rPr>
          <w:rFonts w:ascii="Open Sans" w:hAnsi="Open Sans" w:cs="Open Sans"/>
        </w:rPr>
        <w:t>participants,</w:t>
      </w:r>
      <w:r w:rsidR="0028145D" w:rsidRPr="00D62B9A">
        <w:rPr>
          <w:rFonts w:ascii="Open Sans" w:hAnsi="Open Sans" w:cs="Open Sans"/>
        </w:rPr>
        <w:t xml:space="preserve"> </w:t>
      </w:r>
      <w:r w:rsidR="00247738" w:rsidRPr="00D62B9A">
        <w:rPr>
          <w:rFonts w:ascii="Open Sans" w:hAnsi="Open Sans" w:cs="Open Sans"/>
        </w:rPr>
        <w:t>flagging up</w:t>
      </w:r>
      <w:r w:rsidR="0028145D" w:rsidRPr="00D62B9A">
        <w:rPr>
          <w:rFonts w:ascii="Open Sans" w:hAnsi="Open Sans" w:cs="Open Sans"/>
        </w:rPr>
        <w:t xml:space="preserve"> opportunities for collaboration. </w:t>
      </w:r>
    </w:p>
    <w:p w14:paraId="2DFBF2EE" w14:textId="2003BBD5" w:rsidR="00970B83" w:rsidRPr="00D62B9A" w:rsidRDefault="00970B83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Continuing to monitor impact and report findings on social network e.g</w:t>
      </w:r>
      <w:r w:rsidR="00045D5C">
        <w:rPr>
          <w:rFonts w:ascii="Open Sans" w:hAnsi="Open Sans" w:cs="Open Sans"/>
        </w:rPr>
        <w:t>. trial the new assessment tool and</w:t>
      </w:r>
      <w:r w:rsidRPr="00D62B9A">
        <w:rPr>
          <w:rFonts w:ascii="Open Sans" w:hAnsi="Open Sans" w:cs="Open Sans"/>
        </w:rPr>
        <w:t xml:space="preserve"> induction model in</w:t>
      </w:r>
      <w:r w:rsidR="00045D5C">
        <w:rPr>
          <w:rFonts w:ascii="Open Sans" w:hAnsi="Open Sans" w:cs="Open Sans"/>
        </w:rPr>
        <w:t xml:space="preserve"> September and share learners’ and</w:t>
      </w:r>
      <w:r w:rsidRPr="00D62B9A">
        <w:rPr>
          <w:rFonts w:ascii="Open Sans" w:hAnsi="Open Sans" w:cs="Open Sans"/>
        </w:rPr>
        <w:t xml:space="preserve"> practitioners’ views on these. </w:t>
      </w:r>
    </w:p>
    <w:p w14:paraId="64F1E36B" w14:textId="2ED81A9B" w:rsidR="00970B83" w:rsidRPr="00D62B9A" w:rsidRDefault="00970B83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Develop</w:t>
      </w:r>
      <w:r w:rsidR="00247738" w:rsidRPr="00D62B9A">
        <w:rPr>
          <w:rFonts w:ascii="Open Sans" w:hAnsi="Open Sans" w:cs="Open Sans"/>
        </w:rPr>
        <w:t>ing</w:t>
      </w:r>
      <w:r w:rsidRPr="00D62B9A">
        <w:rPr>
          <w:rFonts w:ascii="Open Sans" w:hAnsi="Open Sans" w:cs="Open Sans"/>
        </w:rPr>
        <w:t xml:space="preserve"> or adapt</w:t>
      </w:r>
      <w:r w:rsidR="00247738" w:rsidRPr="00D62B9A">
        <w:rPr>
          <w:rFonts w:ascii="Open Sans" w:hAnsi="Open Sans" w:cs="Open Sans"/>
        </w:rPr>
        <w:t>ing</w:t>
      </w:r>
      <w:r w:rsidRPr="00D62B9A">
        <w:rPr>
          <w:rFonts w:ascii="Open Sans" w:hAnsi="Open Sans" w:cs="Open Sans"/>
        </w:rPr>
        <w:t xml:space="preserve"> resources and </w:t>
      </w:r>
      <w:r w:rsidR="006D3D41">
        <w:rPr>
          <w:rFonts w:ascii="Open Sans" w:hAnsi="Open Sans" w:cs="Open Sans"/>
        </w:rPr>
        <w:t>sharing</w:t>
      </w:r>
      <w:r w:rsidRPr="00D62B9A">
        <w:rPr>
          <w:rFonts w:ascii="Open Sans" w:hAnsi="Open Sans" w:cs="Open Sans"/>
        </w:rPr>
        <w:t xml:space="preserve"> these so other colleges can have access to them</w:t>
      </w:r>
      <w:r w:rsidR="006D3D41">
        <w:rPr>
          <w:rFonts w:ascii="Open Sans" w:hAnsi="Open Sans" w:cs="Open Sans"/>
        </w:rPr>
        <w:t>.</w:t>
      </w:r>
      <w:r w:rsidRPr="00D62B9A">
        <w:rPr>
          <w:rFonts w:ascii="Open Sans" w:hAnsi="Open Sans" w:cs="Open Sans"/>
        </w:rPr>
        <w:t xml:space="preserve"> </w:t>
      </w:r>
    </w:p>
    <w:p w14:paraId="249DB5CA" w14:textId="078079F6" w:rsidR="00970B83" w:rsidRPr="00D62B9A" w:rsidRDefault="00970B83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Encourag</w:t>
      </w:r>
      <w:r w:rsidR="006D3D41">
        <w:rPr>
          <w:rFonts w:ascii="Open Sans" w:hAnsi="Open Sans" w:cs="Open Sans"/>
        </w:rPr>
        <w:t>ing</w:t>
      </w:r>
      <w:r w:rsidRPr="00D62B9A">
        <w:rPr>
          <w:rFonts w:ascii="Open Sans" w:hAnsi="Open Sans" w:cs="Open Sans"/>
        </w:rPr>
        <w:t xml:space="preserve"> learner feedback and participation </w:t>
      </w:r>
      <w:r w:rsidR="00247738" w:rsidRPr="00D62B9A">
        <w:rPr>
          <w:rFonts w:ascii="Open Sans" w:hAnsi="Open Sans" w:cs="Open Sans"/>
        </w:rPr>
        <w:t>especially about the long term impact of implementing recommendations from the project</w:t>
      </w:r>
      <w:r w:rsidR="006D3D41">
        <w:rPr>
          <w:rFonts w:ascii="Open Sans" w:hAnsi="Open Sans" w:cs="Open Sans"/>
        </w:rPr>
        <w:t>.</w:t>
      </w:r>
      <w:r w:rsidR="00247738" w:rsidRPr="00D62B9A">
        <w:rPr>
          <w:rFonts w:ascii="Open Sans" w:hAnsi="Open Sans" w:cs="Open Sans"/>
        </w:rPr>
        <w:t xml:space="preserve"> </w:t>
      </w:r>
    </w:p>
    <w:p w14:paraId="3A6FDF82" w14:textId="568EBE23" w:rsidR="00B7169A" w:rsidRPr="00D62B9A" w:rsidRDefault="00B7169A" w:rsidP="00405B22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D62B9A">
        <w:rPr>
          <w:rFonts w:ascii="Open Sans" w:hAnsi="Open Sans" w:cs="Open Sans"/>
        </w:rPr>
        <w:t>In terms of transf</w:t>
      </w:r>
      <w:r w:rsidR="00745057" w:rsidRPr="00D62B9A">
        <w:rPr>
          <w:rFonts w:ascii="Open Sans" w:hAnsi="Open Sans" w:cs="Open Sans"/>
        </w:rPr>
        <w:t>erabil</w:t>
      </w:r>
      <w:r w:rsidR="00045D5C">
        <w:rPr>
          <w:rFonts w:ascii="Open Sans" w:hAnsi="Open Sans" w:cs="Open Sans"/>
        </w:rPr>
        <w:t>ity, having a relatively large and</w:t>
      </w:r>
      <w:r w:rsidR="00745057" w:rsidRPr="00D62B9A">
        <w:rPr>
          <w:rFonts w:ascii="Open Sans" w:hAnsi="Open Sans" w:cs="Open Sans"/>
        </w:rPr>
        <w:t xml:space="preserve"> diverse </w:t>
      </w:r>
      <w:r w:rsidR="00BB4F16" w:rsidRPr="00D62B9A">
        <w:rPr>
          <w:rFonts w:ascii="Open Sans" w:hAnsi="Open Sans" w:cs="Open Sans"/>
        </w:rPr>
        <w:t>cohort will</w:t>
      </w:r>
      <w:r w:rsidR="00745057" w:rsidRPr="00D62B9A">
        <w:rPr>
          <w:rFonts w:ascii="Open Sans" w:hAnsi="Open Sans" w:cs="Open Sans"/>
        </w:rPr>
        <w:t xml:space="preserve"> work positively for the project. </w:t>
      </w:r>
      <w:r w:rsidR="00BB4F16" w:rsidRPr="00D62B9A">
        <w:rPr>
          <w:rFonts w:ascii="Open Sans" w:hAnsi="Open Sans" w:cs="Open Sans"/>
        </w:rPr>
        <w:t xml:space="preserve">The impact will be felt </w:t>
      </w:r>
      <w:r w:rsidR="00247738" w:rsidRPr="00D62B9A">
        <w:rPr>
          <w:rFonts w:ascii="Open Sans" w:hAnsi="Open Sans" w:cs="Open Sans"/>
        </w:rPr>
        <w:t xml:space="preserve">initially </w:t>
      </w:r>
      <w:r w:rsidR="00BB4F16" w:rsidRPr="00D62B9A">
        <w:rPr>
          <w:rFonts w:ascii="Open Sans" w:hAnsi="Open Sans" w:cs="Open Sans"/>
        </w:rPr>
        <w:t xml:space="preserve">in at least 10 colleges in London </w:t>
      </w:r>
      <w:r w:rsidR="00247738" w:rsidRPr="00D62B9A">
        <w:rPr>
          <w:rFonts w:ascii="Open Sans" w:hAnsi="Open Sans" w:cs="Open Sans"/>
        </w:rPr>
        <w:t xml:space="preserve">but with  </w:t>
      </w:r>
      <w:r w:rsidR="00BB4F16" w:rsidRPr="00D62B9A">
        <w:rPr>
          <w:rFonts w:ascii="Open Sans" w:hAnsi="Open Sans" w:cs="Open Sans"/>
        </w:rPr>
        <w:t>an average of at least 60 members of staff acting as ‘ambassadors’</w:t>
      </w:r>
      <w:r w:rsidR="00247738" w:rsidRPr="00D62B9A">
        <w:rPr>
          <w:rFonts w:ascii="Open Sans" w:hAnsi="Open Sans" w:cs="Open Sans"/>
        </w:rPr>
        <w:t>, there is a gre</w:t>
      </w:r>
      <w:r w:rsidR="00045D5C">
        <w:rPr>
          <w:rFonts w:ascii="Open Sans" w:hAnsi="Open Sans" w:cs="Open Sans"/>
        </w:rPr>
        <w:t>at possibility that developing and</w:t>
      </w:r>
      <w:r w:rsidR="00247738" w:rsidRPr="00D62B9A">
        <w:rPr>
          <w:rFonts w:ascii="Open Sans" w:hAnsi="Open Sans" w:cs="Open Sans"/>
        </w:rPr>
        <w:t xml:space="preserve"> sharing ideas and resources will continue on a larger scale</w:t>
      </w:r>
      <w:r w:rsidR="00BB4F16" w:rsidRPr="00D62B9A">
        <w:rPr>
          <w:rFonts w:ascii="Open Sans" w:hAnsi="Open Sans" w:cs="Open Sans"/>
        </w:rPr>
        <w:t>. The willingness by participants to test out the resources and idea</w:t>
      </w:r>
      <w:r w:rsidR="000F1F84">
        <w:rPr>
          <w:rFonts w:ascii="Open Sans" w:hAnsi="Open Sans" w:cs="Open Sans"/>
        </w:rPr>
        <w:t>s</w:t>
      </w:r>
      <w:bookmarkStart w:id="0" w:name="_GoBack"/>
      <w:bookmarkEnd w:id="0"/>
      <w:r w:rsidR="00BB4F16" w:rsidRPr="00D62B9A">
        <w:rPr>
          <w:rFonts w:ascii="Open Sans" w:hAnsi="Open Sans" w:cs="Open Sans"/>
        </w:rPr>
        <w:t xml:space="preserve"> will </w:t>
      </w:r>
      <w:r w:rsidR="00E95C48" w:rsidRPr="00D62B9A">
        <w:rPr>
          <w:rFonts w:ascii="Open Sans" w:hAnsi="Open Sans" w:cs="Open Sans"/>
        </w:rPr>
        <w:t>guarantee positive</w:t>
      </w:r>
      <w:r w:rsidR="00045D5C">
        <w:rPr>
          <w:rFonts w:ascii="Open Sans" w:hAnsi="Open Sans" w:cs="Open Sans"/>
        </w:rPr>
        <w:t xml:space="preserve"> learner experience as teaching, learning and assessment</w:t>
      </w:r>
      <w:r w:rsidR="00BB4F16" w:rsidRPr="00D62B9A">
        <w:rPr>
          <w:rFonts w:ascii="Open Sans" w:hAnsi="Open Sans" w:cs="Open Sans"/>
        </w:rPr>
        <w:t xml:space="preserve"> become outstanding.   </w:t>
      </w:r>
    </w:p>
    <w:p w14:paraId="6230CAEA" w14:textId="1F523CA4" w:rsidR="00DF18EC" w:rsidRPr="00D62B9A" w:rsidRDefault="00DF18EC" w:rsidP="00405B22">
      <w:pPr>
        <w:pStyle w:val="ListParagraph"/>
        <w:spacing w:after="120"/>
        <w:rPr>
          <w:rFonts w:ascii="Open Sans" w:hAnsi="Open Sans" w:cs="Open Sans"/>
          <w:color w:val="1F497D"/>
        </w:rPr>
      </w:pPr>
    </w:p>
    <w:p w14:paraId="5087ABB2" w14:textId="28462BFE" w:rsidR="0028145D" w:rsidRPr="00D62B9A" w:rsidRDefault="00D62B9A" w:rsidP="00405B22">
      <w:pPr>
        <w:spacing w:after="120"/>
        <w:rPr>
          <w:rFonts w:ascii="Open Sans" w:hAnsi="Open Sans" w:cs="Open Sans"/>
          <w:b/>
          <w:color w:val="007096"/>
        </w:rPr>
      </w:pPr>
      <w:r>
        <w:rPr>
          <w:rFonts w:ascii="Open Sans" w:hAnsi="Open Sans" w:cs="Open Sans"/>
          <w:b/>
          <w:color w:val="007096"/>
        </w:rPr>
        <w:t>Case study written by Tinyan Akin-Omoyajowo, Peer Advisor, supported by Gillian Gibson, City and Islington College</w:t>
      </w:r>
    </w:p>
    <w:sectPr w:rsidR="0028145D" w:rsidRPr="00D62B9A" w:rsidSect="00A60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5147" w14:textId="77777777" w:rsidR="004B08FC" w:rsidRDefault="004B08FC" w:rsidP="006D3E55">
      <w:pPr>
        <w:spacing w:after="0" w:line="240" w:lineRule="auto"/>
      </w:pPr>
      <w:r>
        <w:separator/>
      </w:r>
    </w:p>
  </w:endnote>
  <w:endnote w:type="continuationSeparator" w:id="0">
    <w:p w14:paraId="1791F651" w14:textId="77777777" w:rsidR="004B08FC" w:rsidRDefault="004B08FC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FCB7" w14:textId="77777777" w:rsidR="00F43534" w:rsidRDefault="00F435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12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6A59" w14:textId="7F749A91" w:rsidR="001C145B" w:rsidRDefault="001C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2C1970" w14:textId="77777777" w:rsidR="001C145B" w:rsidRDefault="001C14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F6A1" w14:textId="77777777" w:rsidR="00F43534" w:rsidRDefault="00F43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06610" w14:textId="77777777" w:rsidR="004B08FC" w:rsidRDefault="004B08FC" w:rsidP="006D3E55">
      <w:pPr>
        <w:spacing w:after="0" w:line="240" w:lineRule="auto"/>
      </w:pPr>
      <w:r>
        <w:separator/>
      </w:r>
    </w:p>
  </w:footnote>
  <w:footnote w:type="continuationSeparator" w:id="0">
    <w:p w14:paraId="27273A02" w14:textId="77777777" w:rsidR="004B08FC" w:rsidRDefault="004B08FC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5DCC" w14:textId="77777777" w:rsidR="00F43534" w:rsidRDefault="00F435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D947" w14:textId="65A1D2D1" w:rsidR="004B08FC" w:rsidRDefault="004B08FC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9994BEC" wp14:editId="19027CDF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F16B" w14:textId="77777777" w:rsidR="00F43534" w:rsidRDefault="00F43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B0D"/>
    <w:multiLevelType w:val="hybridMultilevel"/>
    <w:tmpl w:val="24C8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162"/>
    <w:multiLevelType w:val="hybridMultilevel"/>
    <w:tmpl w:val="B64E7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6F7D66"/>
    <w:multiLevelType w:val="hybridMultilevel"/>
    <w:tmpl w:val="1D4C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752A"/>
    <w:multiLevelType w:val="hybridMultilevel"/>
    <w:tmpl w:val="404A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59AA"/>
    <w:multiLevelType w:val="hybridMultilevel"/>
    <w:tmpl w:val="269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74FDF"/>
    <w:multiLevelType w:val="hybridMultilevel"/>
    <w:tmpl w:val="AF66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765B1"/>
    <w:multiLevelType w:val="hybridMultilevel"/>
    <w:tmpl w:val="C94A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A1"/>
    <w:rsid w:val="00001923"/>
    <w:rsid w:val="00004289"/>
    <w:rsid w:val="0001153C"/>
    <w:rsid w:val="00024D62"/>
    <w:rsid w:val="00045D5C"/>
    <w:rsid w:val="000567F0"/>
    <w:rsid w:val="00090BCF"/>
    <w:rsid w:val="000932AE"/>
    <w:rsid w:val="000C0378"/>
    <w:rsid w:val="000D4BB0"/>
    <w:rsid w:val="000F1F84"/>
    <w:rsid w:val="00104B5C"/>
    <w:rsid w:val="00112347"/>
    <w:rsid w:val="00126597"/>
    <w:rsid w:val="00136CA9"/>
    <w:rsid w:val="00161753"/>
    <w:rsid w:val="00164026"/>
    <w:rsid w:val="00164B2B"/>
    <w:rsid w:val="00177F4E"/>
    <w:rsid w:val="001803EB"/>
    <w:rsid w:val="001C145B"/>
    <w:rsid w:val="001C4D85"/>
    <w:rsid w:val="001D2683"/>
    <w:rsid w:val="001F6F23"/>
    <w:rsid w:val="002170BF"/>
    <w:rsid w:val="00237634"/>
    <w:rsid w:val="00241E46"/>
    <w:rsid w:val="0024344E"/>
    <w:rsid w:val="00247738"/>
    <w:rsid w:val="002555DF"/>
    <w:rsid w:val="00261389"/>
    <w:rsid w:val="0028145D"/>
    <w:rsid w:val="002B4E47"/>
    <w:rsid w:val="002E439D"/>
    <w:rsid w:val="002F339A"/>
    <w:rsid w:val="003048B2"/>
    <w:rsid w:val="003049D4"/>
    <w:rsid w:val="00313AC9"/>
    <w:rsid w:val="003149A3"/>
    <w:rsid w:val="003239F5"/>
    <w:rsid w:val="0033194D"/>
    <w:rsid w:val="00332BB2"/>
    <w:rsid w:val="00336ED6"/>
    <w:rsid w:val="0034579B"/>
    <w:rsid w:val="00347217"/>
    <w:rsid w:val="00381243"/>
    <w:rsid w:val="003B231A"/>
    <w:rsid w:val="003B396C"/>
    <w:rsid w:val="003B4808"/>
    <w:rsid w:val="003B73C2"/>
    <w:rsid w:val="003D657B"/>
    <w:rsid w:val="003E1053"/>
    <w:rsid w:val="003E38DD"/>
    <w:rsid w:val="003E7567"/>
    <w:rsid w:val="003F008C"/>
    <w:rsid w:val="00405B22"/>
    <w:rsid w:val="00422CD8"/>
    <w:rsid w:val="0043698B"/>
    <w:rsid w:val="004462AC"/>
    <w:rsid w:val="00450E9E"/>
    <w:rsid w:val="004712D2"/>
    <w:rsid w:val="00471A7F"/>
    <w:rsid w:val="00473D14"/>
    <w:rsid w:val="00483329"/>
    <w:rsid w:val="004902A8"/>
    <w:rsid w:val="004A2395"/>
    <w:rsid w:val="004B08FC"/>
    <w:rsid w:val="004B39DE"/>
    <w:rsid w:val="004B7012"/>
    <w:rsid w:val="004D1C31"/>
    <w:rsid w:val="004D3C3F"/>
    <w:rsid w:val="004D6304"/>
    <w:rsid w:val="004E3B25"/>
    <w:rsid w:val="004F054B"/>
    <w:rsid w:val="004F33FA"/>
    <w:rsid w:val="005049DE"/>
    <w:rsid w:val="005103BF"/>
    <w:rsid w:val="005162B8"/>
    <w:rsid w:val="005221FE"/>
    <w:rsid w:val="00526171"/>
    <w:rsid w:val="00532571"/>
    <w:rsid w:val="00563D07"/>
    <w:rsid w:val="00576A70"/>
    <w:rsid w:val="005B1CD6"/>
    <w:rsid w:val="005B74E1"/>
    <w:rsid w:val="005D20A1"/>
    <w:rsid w:val="005D25A9"/>
    <w:rsid w:val="005E3B52"/>
    <w:rsid w:val="005E7011"/>
    <w:rsid w:val="005F0470"/>
    <w:rsid w:val="005F0DCE"/>
    <w:rsid w:val="005F1B1D"/>
    <w:rsid w:val="00606B82"/>
    <w:rsid w:val="00607C45"/>
    <w:rsid w:val="006109F7"/>
    <w:rsid w:val="00660824"/>
    <w:rsid w:val="00664330"/>
    <w:rsid w:val="00674763"/>
    <w:rsid w:val="00681008"/>
    <w:rsid w:val="00692077"/>
    <w:rsid w:val="00693654"/>
    <w:rsid w:val="006C3A69"/>
    <w:rsid w:val="006D3D41"/>
    <w:rsid w:val="006D3E55"/>
    <w:rsid w:val="006D61A2"/>
    <w:rsid w:val="006E04EB"/>
    <w:rsid w:val="006E2802"/>
    <w:rsid w:val="007041A7"/>
    <w:rsid w:val="00706FCB"/>
    <w:rsid w:val="00707E62"/>
    <w:rsid w:val="007112CD"/>
    <w:rsid w:val="00717220"/>
    <w:rsid w:val="00724899"/>
    <w:rsid w:val="00732551"/>
    <w:rsid w:val="00737279"/>
    <w:rsid w:val="007379CB"/>
    <w:rsid w:val="00743313"/>
    <w:rsid w:val="00745057"/>
    <w:rsid w:val="00752D47"/>
    <w:rsid w:val="00762FCE"/>
    <w:rsid w:val="007708D8"/>
    <w:rsid w:val="00781BE6"/>
    <w:rsid w:val="0079363C"/>
    <w:rsid w:val="007972DE"/>
    <w:rsid w:val="007A3572"/>
    <w:rsid w:val="007A79B6"/>
    <w:rsid w:val="007B1055"/>
    <w:rsid w:val="007C2438"/>
    <w:rsid w:val="00807820"/>
    <w:rsid w:val="00813A8A"/>
    <w:rsid w:val="00815B01"/>
    <w:rsid w:val="00851C3A"/>
    <w:rsid w:val="00883DF3"/>
    <w:rsid w:val="00897306"/>
    <w:rsid w:val="008E224A"/>
    <w:rsid w:val="00917876"/>
    <w:rsid w:val="00934D8B"/>
    <w:rsid w:val="00955E55"/>
    <w:rsid w:val="00960FDB"/>
    <w:rsid w:val="00962A07"/>
    <w:rsid w:val="009669AD"/>
    <w:rsid w:val="00970B83"/>
    <w:rsid w:val="009765FB"/>
    <w:rsid w:val="009C0C41"/>
    <w:rsid w:val="009D35D1"/>
    <w:rsid w:val="009E04A2"/>
    <w:rsid w:val="009E16E9"/>
    <w:rsid w:val="009E270F"/>
    <w:rsid w:val="00A2349B"/>
    <w:rsid w:val="00A25363"/>
    <w:rsid w:val="00A35DAC"/>
    <w:rsid w:val="00A35E72"/>
    <w:rsid w:val="00A4398D"/>
    <w:rsid w:val="00A601BD"/>
    <w:rsid w:val="00A90970"/>
    <w:rsid w:val="00A9128D"/>
    <w:rsid w:val="00AA177A"/>
    <w:rsid w:val="00AA3DCD"/>
    <w:rsid w:val="00AD22E8"/>
    <w:rsid w:val="00B0599C"/>
    <w:rsid w:val="00B2319F"/>
    <w:rsid w:val="00B23374"/>
    <w:rsid w:val="00B448AB"/>
    <w:rsid w:val="00B51EA5"/>
    <w:rsid w:val="00B57422"/>
    <w:rsid w:val="00B63D76"/>
    <w:rsid w:val="00B7169A"/>
    <w:rsid w:val="00BA0EDD"/>
    <w:rsid w:val="00BA6D80"/>
    <w:rsid w:val="00BB37AB"/>
    <w:rsid w:val="00BB4F16"/>
    <w:rsid w:val="00BF2377"/>
    <w:rsid w:val="00C07CDB"/>
    <w:rsid w:val="00C1299B"/>
    <w:rsid w:val="00C177B1"/>
    <w:rsid w:val="00C21DC3"/>
    <w:rsid w:val="00C467D3"/>
    <w:rsid w:val="00C5357E"/>
    <w:rsid w:val="00C74F60"/>
    <w:rsid w:val="00C868E1"/>
    <w:rsid w:val="00C902F4"/>
    <w:rsid w:val="00C94364"/>
    <w:rsid w:val="00CA242A"/>
    <w:rsid w:val="00CA251B"/>
    <w:rsid w:val="00CA2813"/>
    <w:rsid w:val="00CA5C18"/>
    <w:rsid w:val="00CA6802"/>
    <w:rsid w:val="00CB7D07"/>
    <w:rsid w:val="00CE49A2"/>
    <w:rsid w:val="00D05B53"/>
    <w:rsid w:val="00D121DB"/>
    <w:rsid w:val="00D321DA"/>
    <w:rsid w:val="00D37F63"/>
    <w:rsid w:val="00D5491C"/>
    <w:rsid w:val="00D62B9A"/>
    <w:rsid w:val="00D6628B"/>
    <w:rsid w:val="00D83761"/>
    <w:rsid w:val="00DB5575"/>
    <w:rsid w:val="00DB5ABC"/>
    <w:rsid w:val="00DB630D"/>
    <w:rsid w:val="00DC2D02"/>
    <w:rsid w:val="00DD22B3"/>
    <w:rsid w:val="00DF18EC"/>
    <w:rsid w:val="00E20CF7"/>
    <w:rsid w:val="00E463E8"/>
    <w:rsid w:val="00E5065C"/>
    <w:rsid w:val="00E5334B"/>
    <w:rsid w:val="00E62EB4"/>
    <w:rsid w:val="00E8019B"/>
    <w:rsid w:val="00E822AB"/>
    <w:rsid w:val="00E8773A"/>
    <w:rsid w:val="00E902DF"/>
    <w:rsid w:val="00E92B0E"/>
    <w:rsid w:val="00E95C48"/>
    <w:rsid w:val="00EA17DD"/>
    <w:rsid w:val="00EB0301"/>
    <w:rsid w:val="00ED252E"/>
    <w:rsid w:val="00EF7798"/>
    <w:rsid w:val="00F03441"/>
    <w:rsid w:val="00F3457B"/>
    <w:rsid w:val="00F43534"/>
    <w:rsid w:val="00F46010"/>
    <w:rsid w:val="00F71844"/>
    <w:rsid w:val="00F83362"/>
    <w:rsid w:val="00F95550"/>
    <w:rsid w:val="00FA45CA"/>
    <w:rsid w:val="00FB2371"/>
    <w:rsid w:val="00FD0C58"/>
    <w:rsid w:val="00FE72CD"/>
    <w:rsid w:val="00FF4410"/>
    <w:rsid w:val="00FF765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15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A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9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A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9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90E9-0F97-0F46-8636-BAED43F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1957</Words>
  <Characters>11161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BC105PC10</dc:creator>
  <cp:lastModifiedBy>Linda Simpson</cp:lastModifiedBy>
  <cp:revision>2</cp:revision>
  <cp:lastPrinted>2015-05-22T10:11:00Z</cp:lastPrinted>
  <dcterms:created xsi:type="dcterms:W3CDTF">2016-02-17T11:32:00Z</dcterms:created>
  <dcterms:modified xsi:type="dcterms:W3CDTF">2016-02-17T11:32:00Z</dcterms:modified>
</cp:coreProperties>
</file>