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24EB3" w14:textId="6343892B" w:rsidR="00F03441" w:rsidRPr="004A5A6B" w:rsidRDefault="005D20A1">
      <w:pPr>
        <w:pStyle w:val="Title"/>
        <w:rPr>
          <w:rFonts w:ascii="Open Sans" w:hAnsi="Open Sans" w:cs="Open Sans"/>
          <w:b/>
          <w:color w:val="007096"/>
          <w:sz w:val="28"/>
          <w:szCs w:val="28"/>
        </w:rPr>
      </w:pPr>
      <w:r w:rsidRPr="004A5A6B">
        <w:rPr>
          <w:rFonts w:ascii="Open Sans" w:hAnsi="Open Sans" w:cs="Open Sans"/>
          <w:b/>
          <w:color w:val="007096"/>
          <w:sz w:val="28"/>
          <w:szCs w:val="28"/>
        </w:rPr>
        <w:t xml:space="preserve">Outstanding teaching, learning and assessment: </w:t>
      </w:r>
      <w:r w:rsidR="004A5A6B" w:rsidRPr="004A5A6B">
        <w:rPr>
          <w:rFonts w:ascii="Open Sans" w:hAnsi="Open Sans" w:cs="Open Sans"/>
          <w:b/>
          <w:color w:val="007096"/>
          <w:sz w:val="28"/>
          <w:szCs w:val="28"/>
        </w:rPr>
        <w:t>case study on operational project led by London Learning Consortium</w:t>
      </w:r>
    </w:p>
    <w:p w14:paraId="3271E4D2" w14:textId="77777777" w:rsidR="005D20A1" w:rsidRPr="004A5A6B" w:rsidRDefault="00851C3A" w:rsidP="007035BD">
      <w:pPr>
        <w:pStyle w:val="Heading1"/>
        <w:spacing w:before="0" w:after="120"/>
        <w:rPr>
          <w:rFonts w:ascii="Open Sans" w:hAnsi="Open Sans" w:cs="Open Sans"/>
          <w:color w:val="007096"/>
          <w:sz w:val="22"/>
          <w:szCs w:val="22"/>
        </w:rPr>
      </w:pPr>
      <w:r w:rsidRPr="004A5A6B">
        <w:rPr>
          <w:rFonts w:ascii="Open Sans" w:hAnsi="Open Sans" w:cs="Open Sans"/>
          <w:color w:val="007096"/>
          <w:sz w:val="22"/>
          <w:szCs w:val="22"/>
        </w:rPr>
        <w:t>Introduction</w:t>
      </w:r>
    </w:p>
    <w:p w14:paraId="7F1518A0" w14:textId="4BE71DC7" w:rsidR="00D85FCB" w:rsidRPr="003370C3" w:rsidRDefault="00DE1561" w:rsidP="007035BD">
      <w:pPr>
        <w:spacing w:after="120"/>
        <w:rPr>
          <w:rFonts w:ascii="Open Sans" w:eastAsia="Times New Roman" w:hAnsi="Open Sans" w:cs="Open Sans"/>
          <w:lang w:eastAsia="en-GB"/>
        </w:rPr>
      </w:pPr>
      <w:r w:rsidRPr="005E3848">
        <w:rPr>
          <w:rFonts w:ascii="Open Sans" w:hAnsi="Open Sans" w:cs="Open Sans"/>
        </w:rPr>
        <w:t>This project focussed on</w:t>
      </w:r>
      <w:r w:rsidR="003370C3">
        <w:rPr>
          <w:rFonts w:ascii="Open Sans" w:hAnsi="Open Sans" w:cs="Open Sans"/>
        </w:rPr>
        <w:t xml:space="preserve"> the core theme of English and l</w:t>
      </w:r>
      <w:r w:rsidRPr="005E3848">
        <w:rPr>
          <w:rFonts w:ascii="Open Sans" w:hAnsi="Open Sans" w:cs="Open Sans"/>
        </w:rPr>
        <w:t>iteracy, including E</w:t>
      </w:r>
      <w:r w:rsidR="003370C3">
        <w:rPr>
          <w:rFonts w:ascii="Open Sans" w:hAnsi="Open Sans" w:cs="Open Sans"/>
        </w:rPr>
        <w:t xml:space="preserve">nglish for </w:t>
      </w:r>
      <w:r w:rsidRPr="005E3848">
        <w:rPr>
          <w:rFonts w:ascii="Open Sans" w:hAnsi="Open Sans" w:cs="Open Sans"/>
        </w:rPr>
        <w:t>S</w:t>
      </w:r>
      <w:r w:rsidR="003370C3">
        <w:rPr>
          <w:rFonts w:ascii="Open Sans" w:hAnsi="Open Sans" w:cs="Open Sans"/>
        </w:rPr>
        <w:t xml:space="preserve">peakers of </w:t>
      </w:r>
      <w:r w:rsidRPr="005E3848">
        <w:rPr>
          <w:rFonts w:ascii="Open Sans" w:hAnsi="Open Sans" w:cs="Open Sans"/>
        </w:rPr>
        <w:t>O</w:t>
      </w:r>
      <w:r w:rsidR="003370C3">
        <w:rPr>
          <w:rFonts w:ascii="Open Sans" w:hAnsi="Open Sans" w:cs="Open Sans"/>
        </w:rPr>
        <w:t xml:space="preserve">ther </w:t>
      </w:r>
      <w:r w:rsidRPr="005E3848">
        <w:rPr>
          <w:rFonts w:ascii="Open Sans" w:hAnsi="Open Sans" w:cs="Open Sans"/>
        </w:rPr>
        <w:t>L</w:t>
      </w:r>
      <w:r w:rsidR="003370C3">
        <w:rPr>
          <w:rFonts w:ascii="Open Sans" w:hAnsi="Open Sans" w:cs="Open Sans"/>
        </w:rPr>
        <w:t>anguages (ESOL)</w:t>
      </w:r>
      <w:r w:rsidRPr="005E3848">
        <w:rPr>
          <w:rFonts w:ascii="Open Sans" w:hAnsi="Open Sans" w:cs="Open Sans"/>
        </w:rPr>
        <w:t>.  The lead partner was London Learning Consortium</w:t>
      </w:r>
      <w:r w:rsidR="003370C3">
        <w:rPr>
          <w:rFonts w:ascii="Open Sans" w:hAnsi="Open Sans" w:cs="Open Sans"/>
        </w:rPr>
        <w:t xml:space="preserve"> (LLC)</w:t>
      </w:r>
      <w:r w:rsidR="00D85FCB" w:rsidRPr="005E3848">
        <w:rPr>
          <w:rFonts w:ascii="Open Sans" w:hAnsi="Open Sans" w:cs="Open Sans"/>
        </w:rPr>
        <w:t xml:space="preserve">, </w:t>
      </w:r>
      <w:r w:rsidR="00E82FB9" w:rsidRPr="005E3848">
        <w:rPr>
          <w:rFonts w:ascii="Open Sans" w:eastAsia="Times New Roman" w:hAnsi="Open Sans" w:cs="Open Sans"/>
        </w:rPr>
        <w:t xml:space="preserve">a </w:t>
      </w:r>
      <w:r w:rsidR="00D35CFB" w:rsidRPr="005E3848">
        <w:rPr>
          <w:rFonts w:ascii="Open Sans" w:eastAsia="Times New Roman" w:hAnsi="Open Sans" w:cs="Open Sans"/>
        </w:rPr>
        <w:t>third sector provider who</w:t>
      </w:r>
      <w:r w:rsidR="00E82FB9" w:rsidRPr="005E3848">
        <w:rPr>
          <w:rFonts w:ascii="Open Sans" w:eastAsia="Times New Roman" w:hAnsi="Open Sans" w:cs="Open Sans"/>
          <w:lang w:eastAsia="en-GB"/>
        </w:rPr>
        <w:t xml:space="preserve"> rep</w:t>
      </w:r>
      <w:r w:rsidR="00D35CFB" w:rsidRPr="005E3848">
        <w:rPr>
          <w:rFonts w:ascii="Open Sans" w:eastAsia="Times New Roman" w:hAnsi="Open Sans" w:cs="Open Sans"/>
          <w:lang w:eastAsia="en-GB"/>
        </w:rPr>
        <w:t xml:space="preserve">resents the interests of </w:t>
      </w:r>
      <w:r w:rsidR="00E82FB9" w:rsidRPr="005E3848">
        <w:rPr>
          <w:rFonts w:ascii="Open Sans" w:eastAsia="Times New Roman" w:hAnsi="Open Sans" w:cs="Open Sans"/>
          <w:lang w:eastAsia="en-GB"/>
        </w:rPr>
        <w:t>42 mem</w:t>
      </w:r>
      <w:r w:rsidR="00D35CFB" w:rsidRPr="005E3848">
        <w:rPr>
          <w:rFonts w:ascii="Open Sans" w:eastAsia="Times New Roman" w:hAnsi="Open Sans" w:cs="Open Sans"/>
          <w:lang w:eastAsia="en-GB"/>
        </w:rPr>
        <w:t xml:space="preserve">ber organisations </w:t>
      </w:r>
      <w:r w:rsidR="00E82FB9" w:rsidRPr="005E3848">
        <w:rPr>
          <w:rFonts w:ascii="Open Sans" w:eastAsia="Times New Roman" w:hAnsi="Open Sans" w:cs="Open Sans"/>
        </w:rPr>
        <w:t xml:space="preserve">across </w:t>
      </w:r>
      <w:r w:rsidR="00D35CFB" w:rsidRPr="005E3848">
        <w:rPr>
          <w:rFonts w:ascii="Open Sans" w:eastAsia="Times New Roman" w:hAnsi="Open Sans" w:cs="Open Sans"/>
        </w:rPr>
        <w:t>some of the most deprived London b</w:t>
      </w:r>
      <w:r w:rsidR="00E82FB9" w:rsidRPr="005E3848">
        <w:rPr>
          <w:rFonts w:ascii="Open Sans" w:eastAsia="Times New Roman" w:hAnsi="Open Sans" w:cs="Open Sans"/>
        </w:rPr>
        <w:t>o</w:t>
      </w:r>
      <w:r w:rsidR="00486C80" w:rsidRPr="005E3848">
        <w:rPr>
          <w:rFonts w:ascii="Open Sans" w:eastAsia="Times New Roman" w:hAnsi="Open Sans" w:cs="Open Sans"/>
        </w:rPr>
        <w:t>roughs that include</w:t>
      </w:r>
      <w:r w:rsidR="00E82FB9" w:rsidRPr="005E3848">
        <w:rPr>
          <w:rFonts w:ascii="Open Sans" w:eastAsia="Times New Roman" w:hAnsi="Open Sans" w:cs="Open Sans"/>
        </w:rPr>
        <w:t xml:space="preserve"> N</w:t>
      </w:r>
      <w:r w:rsidR="00E82FB9" w:rsidRPr="005E3848">
        <w:rPr>
          <w:rFonts w:ascii="Open Sans" w:eastAsia="Times New Roman" w:hAnsi="Open Sans" w:cs="Open Sans"/>
          <w:lang w:eastAsia="en-GB"/>
        </w:rPr>
        <w:t>ewham, Hackney, Tower Hamlets and Enfield.</w:t>
      </w:r>
      <w:r w:rsidR="00E82FB9" w:rsidRPr="005E3848">
        <w:rPr>
          <w:rFonts w:ascii="Open Sans" w:eastAsia="Times New Roman" w:hAnsi="Open Sans" w:cs="Open Sans"/>
        </w:rPr>
        <w:t xml:space="preserve"> </w:t>
      </w:r>
      <w:r w:rsidR="00485266" w:rsidRPr="005E3848">
        <w:rPr>
          <w:rFonts w:ascii="Open Sans" w:eastAsia="Times New Roman" w:hAnsi="Open Sans" w:cs="Open Sans"/>
          <w:lang w:eastAsia="en-GB"/>
        </w:rPr>
        <w:t>Project par</w:t>
      </w:r>
      <w:r w:rsidR="003370C3">
        <w:rPr>
          <w:rFonts w:ascii="Open Sans" w:eastAsia="Times New Roman" w:hAnsi="Open Sans" w:cs="Open Sans"/>
          <w:lang w:eastAsia="en-GB"/>
        </w:rPr>
        <w:t>tner</w:t>
      </w:r>
      <w:r w:rsidR="00792050">
        <w:rPr>
          <w:rFonts w:ascii="Open Sans" w:eastAsia="Times New Roman" w:hAnsi="Open Sans" w:cs="Open Sans"/>
          <w:lang w:eastAsia="en-GB"/>
        </w:rPr>
        <w:t>s</w:t>
      </w:r>
      <w:r w:rsidR="003370C3">
        <w:rPr>
          <w:rFonts w:ascii="Open Sans" w:eastAsia="Times New Roman" w:hAnsi="Open Sans" w:cs="Open Sans"/>
          <w:lang w:eastAsia="en-GB"/>
        </w:rPr>
        <w:t xml:space="preserve"> include Grenfell Housing &amp;</w:t>
      </w:r>
      <w:r w:rsidR="00485266" w:rsidRPr="005E3848">
        <w:rPr>
          <w:rFonts w:ascii="Open Sans" w:eastAsia="Times New Roman" w:hAnsi="Open Sans" w:cs="Open Sans"/>
          <w:lang w:eastAsia="en-GB"/>
        </w:rPr>
        <w:t xml:space="preserve"> Training</w:t>
      </w:r>
      <w:r w:rsidR="003370C3">
        <w:rPr>
          <w:rFonts w:ascii="Open Sans" w:eastAsia="Times New Roman" w:hAnsi="Open Sans" w:cs="Open Sans"/>
          <w:lang w:eastAsia="en-GB"/>
        </w:rPr>
        <w:t xml:space="preserve"> Association who work with long-</w:t>
      </w:r>
      <w:r w:rsidR="00485266" w:rsidRPr="005E3848">
        <w:rPr>
          <w:rFonts w:ascii="Open Sans" w:eastAsia="Times New Roman" w:hAnsi="Open Sans" w:cs="Open Sans"/>
          <w:lang w:eastAsia="en-GB"/>
        </w:rPr>
        <w:t>t</w:t>
      </w:r>
      <w:r w:rsidR="003370C3">
        <w:rPr>
          <w:rFonts w:ascii="Open Sans" w:eastAsia="Times New Roman" w:hAnsi="Open Sans" w:cs="Open Sans"/>
          <w:lang w:eastAsia="en-GB"/>
        </w:rPr>
        <w:t>erm unemployed and ex-offenders;</w:t>
      </w:r>
      <w:r w:rsidR="00485266" w:rsidRPr="005E3848">
        <w:rPr>
          <w:rFonts w:ascii="Open Sans" w:eastAsia="Times New Roman" w:hAnsi="Open Sans" w:cs="Open Sans"/>
          <w:lang w:eastAsia="en-GB"/>
        </w:rPr>
        <w:t xml:space="preserve"> the Surrey Lifelong Lea</w:t>
      </w:r>
      <w:r w:rsidR="003370C3">
        <w:rPr>
          <w:rFonts w:ascii="Open Sans" w:eastAsia="Times New Roman" w:hAnsi="Open Sans" w:cs="Open Sans"/>
          <w:lang w:eastAsia="en-GB"/>
        </w:rPr>
        <w:t>rning Partnership</w:t>
      </w:r>
      <w:r w:rsidR="005F1757">
        <w:rPr>
          <w:rFonts w:ascii="Open Sans" w:eastAsia="Times New Roman" w:hAnsi="Open Sans" w:cs="Open Sans"/>
          <w:lang w:eastAsia="en-GB"/>
        </w:rPr>
        <w:t xml:space="preserve"> (SLLP)</w:t>
      </w:r>
      <w:r w:rsidR="003370C3">
        <w:rPr>
          <w:rFonts w:ascii="Open Sans" w:eastAsia="Times New Roman" w:hAnsi="Open Sans" w:cs="Open Sans"/>
          <w:lang w:eastAsia="en-GB"/>
        </w:rPr>
        <w:t>, who provide foundation for learning &amp; l</w:t>
      </w:r>
      <w:r w:rsidR="00485266" w:rsidRPr="005E3848">
        <w:rPr>
          <w:rFonts w:ascii="Open Sans" w:eastAsia="Times New Roman" w:hAnsi="Open Sans" w:cs="Open Sans"/>
          <w:lang w:eastAsia="en-GB"/>
        </w:rPr>
        <w:t xml:space="preserve">ife courses for learners with moderate </w:t>
      </w:r>
      <w:r w:rsidR="003370C3">
        <w:rPr>
          <w:rFonts w:ascii="Open Sans" w:eastAsia="Times New Roman" w:hAnsi="Open Sans" w:cs="Open Sans"/>
          <w:lang w:eastAsia="en-GB"/>
        </w:rPr>
        <w:t>learning difficulties and disabilities;</w:t>
      </w:r>
      <w:r w:rsidR="00485266" w:rsidRPr="005E3848">
        <w:rPr>
          <w:rFonts w:ascii="Open Sans" w:eastAsia="Times New Roman" w:hAnsi="Open Sans" w:cs="Open Sans"/>
          <w:lang w:eastAsia="en-GB"/>
        </w:rPr>
        <w:t xml:space="preserve"> and NCC who d</w:t>
      </w:r>
      <w:r w:rsidR="003370C3">
        <w:rPr>
          <w:rFonts w:ascii="Open Sans" w:eastAsia="Times New Roman" w:hAnsi="Open Sans" w:cs="Open Sans"/>
          <w:lang w:eastAsia="en-GB"/>
        </w:rPr>
        <w:t>eliver work-</w:t>
      </w:r>
      <w:r w:rsidR="00485266" w:rsidRPr="005E3848">
        <w:rPr>
          <w:rFonts w:ascii="Open Sans" w:eastAsia="Times New Roman" w:hAnsi="Open Sans" w:cs="Open Sans"/>
          <w:lang w:eastAsia="en-GB"/>
        </w:rPr>
        <w:t xml:space="preserve">based learning in English </w:t>
      </w:r>
      <w:r w:rsidR="003370C3">
        <w:rPr>
          <w:rFonts w:ascii="Open Sans" w:eastAsia="Times New Roman" w:hAnsi="Open Sans" w:cs="Open Sans"/>
          <w:lang w:eastAsia="en-GB"/>
        </w:rPr>
        <w:t xml:space="preserve">and maths </w:t>
      </w:r>
      <w:r w:rsidR="00485266" w:rsidRPr="005E3848">
        <w:rPr>
          <w:rFonts w:ascii="Open Sans" w:eastAsia="Times New Roman" w:hAnsi="Open Sans" w:cs="Open Sans"/>
          <w:lang w:eastAsia="en-GB"/>
        </w:rPr>
        <w:t xml:space="preserve">to health and social care learners. </w:t>
      </w:r>
    </w:p>
    <w:p w14:paraId="675E9CF8" w14:textId="77777777" w:rsidR="00485266" w:rsidRPr="005E3848" w:rsidRDefault="00485266" w:rsidP="007035BD">
      <w:pPr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>The table below highlights partner engagement in the project:</w:t>
      </w:r>
    </w:p>
    <w:tbl>
      <w:tblPr>
        <w:tblStyle w:val="TableGrid1"/>
        <w:tblW w:w="86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2410"/>
        <w:gridCol w:w="2552"/>
        <w:gridCol w:w="2438"/>
      </w:tblGrid>
      <w:tr w:rsidR="00485266" w:rsidRPr="005E3848" w14:paraId="554D4C3E" w14:textId="77777777" w:rsidTr="004A5A6B">
        <w:tc>
          <w:tcPr>
            <w:tcW w:w="1247" w:type="dxa"/>
            <w:tcBorders>
              <w:bottom w:val="single" w:sz="4" w:space="0" w:color="auto"/>
            </w:tcBorders>
          </w:tcPr>
          <w:p w14:paraId="33B8D732" w14:textId="77777777" w:rsidR="00485266" w:rsidRPr="004A5A6B" w:rsidRDefault="00485266" w:rsidP="00062E01">
            <w:pPr>
              <w:rPr>
                <w:rFonts w:ascii="Open Sans" w:hAnsi="Open Sans" w:cs="Open Sans"/>
                <w:b/>
                <w:color w:val="007096"/>
              </w:rPr>
            </w:pPr>
            <w:r w:rsidRPr="004A5A6B">
              <w:rPr>
                <w:rFonts w:ascii="Open Sans" w:hAnsi="Open Sans" w:cs="Open Sans"/>
                <w:b/>
                <w:color w:val="007096"/>
              </w:rPr>
              <w:t>Partner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2471BA" w14:textId="68799479" w:rsidR="00485266" w:rsidRPr="004A5A6B" w:rsidRDefault="00485266" w:rsidP="00062E01">
            <w:pPr>
              <w:rPr>
                <w:rFonts w:ascii="Open Sans" w:hAnsi="Open Sans" w:cs="Open Sans"/>
                <w:b/>
                <w:color w:val="007096"/>
              </w:rPr>
            </w:pPr>
            <w:r w:rsidRPr="004A5A6B">
              <w:rPr>
                <w:rFonts w:ascii="Open Sans" w:hAnsi="Open Sans" w:cs="Open Sans"/>
                <w:b/>
                <w:color w:val="007096"/>
              </w:rPr>
              <w:t>No. of managers engaged (incl</w:t>
            </w:r>
            <w:r w:rsidR="004A5A6B">
              <w:rPr>
                <w:rFonts w:ascii="Open Sans" w:hAnsi="Open Sans" w:cs="Open Sans"/>
                <w:b/>
                <w:color w:val="007096"/>
              </w:rPr>
              <w:t>.</w:t>
            </w:r>
            <w:r w:rsidRPr="004A5A6B">
              <w:rPr>
                <w:rFonts w:ascii="Open Sans" w:hAnsi="Open Sans" w:cs="Open Sans"/>
                <w:b/>
                <w:color w:val="007096"/>
              </w:rPr>
              <w:t xml:space="preserve"> senior managers</w:t>
            </w:r>
            <w:r w:rsidR="004A5A6B">
              <w:rPr>
                <w:rFonts w:ascii="Open Sans" w:hAnsi="Open Sans" w:cs="Open Sans"/>
                <w:b/>
                <w:color w:val="007096"/>
              </w:rPr>
              <w:t>)</w:t>
            </w:r>
            <w:r w:rsidRPr="004A5A6B">
              <w:rPr>
                <w:rFonts w:ascii="Open Sans" w:hAnsi="Open Sans" w:cs="Open Sans"/>
                <w:b/>
                <w:color w:val="007096"/>
              </w:rPr>
              <w:t xml:space="preserve"> </w:t>
            </w:r>
          </w:p>
          <w:p w14:paraId="722BE13B" w14:textId="77777777" w:rsidR="00485266" w:rsidRPr="004A5A6B" w:rsidRDefault="00485266" w:rsidP="00062E01">
            <w:pPr>
              <w:rPr>
                <w:rFonts w:ascii="Open Sans" w:hAnsi="Open Sans" w:cs="Open Sans"/>
                <w:b/>
                <w:color w:val="00709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86C8D85" w14:textId="77777777" w:rsidR="00485266" w:rsidRPr="004A5A6B" w:rsidRDefault="00485266" w:rsidP="00062E01">
            <w:pPr>
              <w:rPr>
                <w:rFonts w:ascii="Open Sans" w:hAnsi="Open Sans" w:cs="Open Sans"/>
                <w:b/>
                <w:color w:val="007096"/>
              </w:rPr>
            </w:pPr>
            <w:r w:rsidRPr="004A5A6B">
              <w:rPr>
                <w:rFonts w:ascii="Open Sans" w:hAnsi="Open Sans" w:cs="Open Sans"/>
                <w:b/>
                <w:color w:val="007096"/>
              </w:rPr>
              <w:t>No. of practitioners/tutors involved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177DEF2D" w14:textId="77777777" w:rsidR="00485266" w:rsidRPr="004A5A6B" w:rsidRDefault="00485266" w:rsidP="00062E01">
            <w:pPr>
              <w:rPr>
                <w:rFonts w:ascii="Open Sans" w:hAnsi="Open Sans" w:cs="Open Sans"/>
                <w:b/>
                <w:color w:val="007096"/>
              </w:rPr>
            </w:pPr>
            <w:r w:rsidRPr="004A5A6B">
              <w:rPr>
                <w:rFonts w:ascii="Open Sans" w:hAnsi="Open Sans" w:cs="Open Sans"/>
                <w:b/>
                <w:color w:val="007096"/>
              </w:rPr>
              <w:t xml:space="preserve">No. of learners involved in project activities </w:t>
            </w:r>
          </w:p>
        </w:tc>
      </w:tr>
      <w:tr w:rsidR="00485266" w:rsidRPr="005E3848" w14:paraId="3535EA09" w14:textId="77777777" w:rsidTr="004A5A6B">
        <w:tc>
          <w:tcPr>
            <w:tcW w:w="1247" w:type="dxa"/>
            <w:tcBorders>
              <w:top w:val="single" w:sz="4" w:space="0" w:color="auto"/>
            </w:tcBorders>
          </w:tcPr>
          <w:p w14:paraId="1172B786" w14:textId="77777777" w:rsidR="00485266" w:rsidRPr="004A5A6B" w:rsidRDefault="00485266" w:rsidP="00062E01">
            <w:pPr>
              <w:rPr>
                <w:rFonts w:ascii="Open Sans" w:hAnsi="Open Sans" w:cs="Open Sans"/>
                <w:b/>
                <w:color w:val="007096"/>
              </w:rPr>
            </w:pPr>
            <w:r w:rsidRPr="004A5A6B">
              <w:rPr>
                <w:rFonts w:ascii="Open Sans" w:hAnsi="Open Sans" w:cs="Open Sans"/>
                <w:b/>
                <w:color w:val="007096"/>
              </w:rPr>
              <w:t>LLC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8F750B7" w14:textId="77777777" w:rsidR="00485266" w:rsidRPr="005E3848" w:rsidRDefault="00485266" w:rsidP="00062E01">
            <w:pPr>
              <w:jc w:val="center"/>
              <w:rPr>
                <w:rFonts w:ascii="Open Sans" w:hAnsi="Open Sans" w:cs="Open Sans"/>
              </w:rPr>
            </w:pPr>
            <w:r w:rsidRPr="005E3848">
              <w:rPr>
                <w:rFonts w:ascii="Open Sans" w:hAnsi="Open Sans" w:cs="Open San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2E06FCC" w14:textId="3960E23B" w:rsidR="00485266" w:rsidRPr="005E3848" w:rsidRDefault="00707899" w:rsidP="00062E0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6 </w:t>
            </w:r>
            <w:r w:rsidR="00303D82">
              <w:rPr>
                <w:rFonts w:ascii="Open Sans" w:hAnsi="Open Sans" w:cs="Open Sans"/>
              </w:rPr>
              <w:t>IAG</w:t>
            </w:r>
            <w:r w:rsidR="00485266" w:rsidRPr="005E3848">
              <w:rPr>
                <w:rFonts w:ascii="Open Sans" w:hAnsi="Open Sans" w:cs="Open Sans"/>
              </w:rPr>
              <w:t xml:space="preserve"> advisors</w:t>
            </w:r>
          </w:p>
          <w:p w14:paraId="372DAD91" w14:textId="77777777" w:rsidR="00485266" w:rsidRPr="005E3848" w:rsidRDefault="00485266" w:rsidP="00062E01">
            <w:pPr>
              <w:rPr>
                <w:rFonts w:ascii="Open Sans" w:hAnsi="Open Sans" w:cs="Open Sans"/>
              </w:rPr>
            </w:pPr>
            <w:r w:rsidRPr="005E3848">
              <w:rPr>
                <w:rFonts w:ascii="Open Sans" w:hAnsi="Open Sans" w:cs="Open Sans"/>
              </w:rPr>
              <w:t>7 teachers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6E685FF3" w14:textId="77777777" w:rsidR="00485266" w:rsidRPr="005E3848" w:rsidRDefault="00485266" w:rsidP="00062E01">
            <w:pPr>
              <w:jc w:val="center"/>
              <w:rPr>
                <w:rFonts w:ascii="Open Sans" w:hAnsi="Open Sans" w:cs="Open Sans"/>
              </w:rPr>
            </w:pPr>
            <w:r w:rsidRPr="005E3848">
              <w:rPr>
                <w:rFonts w:ascii="Open Sans" w:hAnsi="Open Sans" w:cs="Open Sans"/>
              </w:rPr>
              <w:t>50</w:t>
            </w:r>
          </w:p>
        </w:tc>
      </w:tr>
      <w:tr w:rsidR="00485266" w:rsidRPr="005E3848" w14:paraId="3E9DE50F" w14:textId="77777777" w:rsidTr="004A5A6B">
        <w:tc>
          <w:tcPr>
            <w:tcW w:w="1247" w:type="dxa"/>
          </w:tcPr>
          <w:p w14:paraId="70601F60" w14:textId="77777777" w:rsidR="00485266" w:rsidRPr="004A5A6B" w:rsidRDefault="00485266" w:rsidP="00062E01">
            <w:pPr>
              <w:rPr>
                <w:rFonts w:ascii="Open Sans" w:hAnsi="Open Sans" w:cs="Open Sans"/>
                <w:b/>
                <w:color w:val="007096"/>
              </w:rPr>
            </w:pPr>
            <w:r w:rsidRPr="004A5A6B">
              <w:rPr>
                <w:rFonts w:ascii="Open Sans" w:hAnsi="Open Sans" w:cs="Open Sans"/>
                <w:b/>
                <w:color w:val="007096"/>
              </w:rPr>
              <w:t>Grenfell Housing</w:t>
            </w:r>
          </w:p>
        </w:tc>
        <w:tc>
          <w:tcPr>
            <w:tcW w:w="2410" w:type="dxa"/>
          </w:tcPr>
          <w:p w14:paraId="32A0AA59" w14:textId="77777777" w:rsidR="00485266" w:rsidRPr="005E3848" w:rsidRDefault="00485266" w:rsidP="00062E01">
            <w:pPr>
              <w:jc w:val="center"/>
              <w:rPr>
                <w:rFonts w:ascii="Open Sans" w:hAnsi="Open Sans" w:cs="Open Sans"/>
              </w:rPr>
            </w:pPr>
            <w:r w:rsidRPr="005E3848">
              <w:rPr>
                <w:rFonts w:ascii="Open Sans" w:hAnsi="Open Sans" w:cs="Open Sans"/>
              </w:rPr>
              <w:t>1</w:t>
            </w:r>
          </w:p>
        </w:tc>
        <w:tc>
          <w:tcPr>
            <w:tcW w:w="2552" w:type="dxa"/>
          </w:tcPr>
          <w:p w14:paraId="58B3F791" w14:textId="05118B31" w:rsidR="00485266" w:rsidRPr="005E3848" w:rsidRDefault="00707899" w:rsidP="00062E0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 IAG a</w:t>
            </w:r>
            <w:r w:rsidR="00485266" w:rsidRPr="005E3848">
              <w:rPr>
                <w:rFonts w:ascii="Open Sans" w:hAnsi="Open Sans" w:cs="Open Sans"/>
              </w:rPr>
              <w:t>dvisors</w:t>
            </w:r>
          </w:p>
          <w:p w14:paraId="0B2D4A59" w14:textId="75150AC3" w:rsidR="00485266" w:rsidRPr="005E3848" w:rsidRDefault="00707899" w:rsidP="00062E0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 t</w:t>
            </w:r>
            <w:r w:rsidR="00485266" w:rsidRPr="005E3848">
              <w:rPr>
                <w:rFonts w:ascii="Open Sans" w:hAnsi="Open Sans" w:cs="Open Sans"/>
              </w:rPr>
              <w:t>eachers</w:t>
            </w:r>
          </w:p>
        </w:tc>
        <w:tc>
          <w:tcPr>
            <w:tcW w:w="2438" w:type="dxa"/>
          </w:tcPr>
          <w:p w14:paraId="6389F58C" w14:textId="77777777" w:rsidR="00485266" w:rsidRPr="005E3848" w:rsidRDefault="00485266" w:rsidP="00062E01">
            <w:pPr>
              <w:jc w:val="center"/>
              <w:rPr>
                <w:rFonts w:ascii="Open Sans" w:hAnsi="Open Sans" w:cs="Open Sans"/>
              </w:rPr>
            </w:pPr>
            <w:r w:rsidRPr="005E3848">
              <w:rPr>
                <w:rFonts w:ascii="Open Sans" w:hAnsi="Open Sans" w:cs="Open Sans"/>
              </w:rPr>
              <w:t>30</w:t>
            </w:r>
          </w:p>
        </w:tc>
      </w:tr>
      <w:tr w:rsidR="00485266" w:rsidRPr="005E3848" w14:paraId="407B3664" w14:textId="77777777" w:rsidTr="004A5A6B">
        <w:tc>
          <w:tcPr>
            <w:tcW w:w="1247" w:type="dxa"/>
          </w:tcPr>
          <w:p w14:paraId="4A694B30" w14:textId="77777777" w:rsidR="00485266" w:rsidRPr="004A5A6B" w:rsidRDefault="00485266" w:rsidP="00062E01">
            <w:pPr>
              <w:rPr>
                <w:rFonts w:ascii="Open Sans" w:hAnsi="Open Sans" w:cs="Open Sans"/>
                <w:b/>
                <w:color w:val="007096"/>
              </w:rPr>
            </w:pPr>
            <w:r w:rsidRPr="004A5A6B">
              <w:rPr>
                <w:rFonts w:ascii="Open Sans" w:hAnsi="Open Sans" w:cs="Open Sans"/>
                <w:b/>
                <w:color w:val="007096"/>
              </w:rPr>
              <w:t>SLLP</w:t>
            </w:r>
          </w:p>
        </w:tc>
        <w:tc>
          <w:tcPr>
            <w:tcW w:w="2410" w:type="dxa"/>
          </w:tcPr>
          <w:p w14:paraId="44764901" w14:textId="77777777" w:rsidR="00485266" w:rsidRPr="005E3848" w:rsidRDefault="00485266" w:rsidP="00062E01">
            <w:pPr>
              <w:jc w:val="center"/>
              <w:rPr>
                <w:rFonts w:ascii="Open Sans" w:hAnsi="Open Sans" w:cs="Open Sans"/>
              </w:rPr>
            </w:pPr>
            <w:r w:rsidRPr="005E3848">
              <w:rPr>
                <w:rFonts w:ascii="Open Sans" w:hAnsi="Open Sans" w:cs="Open Sans"/>
              </w:rPr>
              <w:t>1</w:t>
            </w:r>
          </w:p>
        </w:tc>
        <w:tc>
          <w:tcPr>
            <w:tcW w:w="2552" w:type="dxa"/>
          </w:tcPr>
          <w:p w14:paraId="08DB79AB" w14:textId="37792807" w:rsidR="00485266" w:rsidRPr="005E3848" w:rsidRDefault="00707899" w:rsidP="00062E0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 IAG a</w:t>
            </w:r>
            <w:r w:rsidR="00485266" w:rsidRPr="005E3848">
              <w:rPr>
                <w:rFonts w:ascii="Open Sans" w:hAnsi="Open Sans" w:cs="Open Sans"/>
              </w:rPr>
              <w:t>dvisors</w:t>
            </w:r>
          </w:p>
          <w:p w14:paraId="66D7417A" w14:textId="3CF73012" w:rsidR="00485266" w:rsidRPr="005E3848" w:rsidRDefault="00707899" w:rsidP="00062E0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 t</w:t>
            </w:r>
            <w:r w:rsidR="00485266" w:rsidRPr="005E3848">
              <w:rPr>
                <w:rFonts w:ascii="Open Sans" w:hAnsi="Open Sans" w:cs="Open Sans"/>
              </w:rPr>
              <w:t xml:space="preserve">eachers  </w:t>
            </w:r>
          </w:p>
        </w:tc>
        <w:tc>
          <w:tcPr>
            <w:tcW w:w="2438" w:type="dxa"/>
          </w:tcPr>
          <w:p w14:paraId="6AF7D38A" w14:textId="77777777" w:rsidR="00485266" w:rsidRPr="005E3848" w:rsidRDefault="00485266" w:rsidP="00062E01">
            <w:pPr>
              <w:jc w:val="center"/>
              <w:rPr>
                <w:rFonts w:ascii="Open Sans" w:hAnsi="Open Sans" w:cs="Open Sans"/>
              </w:rPr>
            </w:pPr>
            <w:r w:rsidRPr="005E3848">
              <w:rPr>
                <w:rFonts w:ascii="Open Sans" w:hAnsi="Open Sans" w:cs="Open Sans"/>
              </w:rPr>
              <w:t>15</w:t>
            </w:r>
          </w:p>
        </w:tc>
      </w:tr>
      <w:tr w:rsidR="00485266" w:rsidRPr="005E3848" w14:paraId="797B2D8E" w14:textId="77777777" w:rsidTr="004A5A6B">
        <w:tc>
          <w:tcPr>
            <w:tcW w:w="1247" w:type="dxa"/>
          </w:tcPr>
          <w:p w14:paraId="51E26B7A" w14:textId="77777777" w:rsidR="00485266" w:rsidRPr="004A5A6B" w:rsidRDefault="00485266" w:rsidP="00062E01">
            <w:pPr>
              <w:rPr>
                <w:rFonts w:ascii="Open Sans" w:hAnsi="Open Sans" w:cs="Open Sans"/>
                <w:b/>
                <w:color w:val="007096"/>
              </w:rPr>
            </w:pPr>
            <w:r w:rsidRPr="004A5A6B">
              <w:rPr>
                <w:rFonts w:ascii="Open Sans" w:hAnsi="Open Sans" w:cs="Open Sans"/>
                <w:b/>
                <w:color w:val="007096"/>
              </w:rPr>
              <w:t>NCC</w:t>
            </w:r>
          </w:p>
        </w:tc>
        <w:tc>
          <w:tcPr>
            <w:tcW w:w="2410" w:type="dxa"/>
          </w:tcPr>
          <w:p w14:paraId="7641F64B" w14:textId="77777777" w:rsidR="00485266" w:rsidRPr="005E3848" w:rsidRDefault="00485266" w:rsidP="00062E01">
            <w:pPr>
              <w:jc w:val="center"/>
              <w:rPr>
                <w:rFonts w:ascii="Open Sans" w:hAnsi="Open Sans" w:cs="Open Sans"/>
              </w:rPr>
            </w:pPr>
            <w:r w:rsidRPr="005E3848">
              <w:rPr>
                <w:rFonts w:ascii="Open Sans" w:hAnsi="Open Sans" w:cs="Open Sans"/>
              </w:rPr>
              <w:t>1</w:t>
            </w:r>
          </w:p>
        </w:tc>
        <w:tc>
          <w:tcPr>
            <w:tcW w:w="2552" w:type="dxa"/>
          </w:tcPr>
          <w:p w14:paraId="5B928651" w14:textId="40BF4C4F" w:rsidR="00485266" w:rsidRPr="005E3848" w:rsidRDefault="00707899" w:rsidP="00062E0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 t</w:t>
            </w:r>
            <w:r w:rsidR="00485266" w:rsidRPr="005E3848">
              <w:rPr>
                <w:rFonts w:ascii="Open Sans" w:hAnsi="Open Sans" w:cs="Open Sans"/>
              </w:rPr>
              <w:t xml:space="preserve">eachers </w:t>
            </w:r>
          </w:p>
        </w:tc>
        <w:tc>
          <w:tcPr>
            <w:tcW w:w="2438" w:type="dxa"/>
          </w:tcPr>
          <w:p w14:paraId="1F37C0FF" w14:textId="77777777" w:rsidR="00485266" w:rsidRPr="005E3848" w:rsidRDefault="00485266" w:rsidP="00062E01">
            <w:pPr>
              <w:jc w:val="center"/>
              <w:rPr>
                <w:rFonts w:ascii="Open Sans" w:hAnsi="Open Sans" w:cs="Open Sans"/>
              </w:rPr>
            </w:pPr>
            <w:r w:rsidRPr="005E3848">
              <w:rPr>
                <w:rFonts w:ascii="Open Sans" w:hAnsi="Open Sans" w:cs="Open Sans"/>
              </w:rPr>
              <w:t>40</w:t>
            </w:r>
          </w:p>
          <w:p w14:paraId="38F3BBDF" w14:textId="77777777" w:rsidR="00485266" w:rsidRPr="005E3848" w:rsidRDefault="00485266" w:rsidP="00062E01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058F8EBC" w14:textId="77777777" w:rsidR="00CB4CBA" w:rsidRPr="005E3848" w:rsidRDefault="00CB4CBA" w:rsidP="007035BD">
      <w:pPr>
        <w:spacing w:after="120"/>
        <w:rPr>
          <w:rFonts w:ascii="Open Sans" w:eastAsia="Times New Roman" w:hAnsi="Open Sans" w:cs="Open Sans"/>
          <w:color w:val="002060"/>
          <w:lang w:eastAsia="en-GB"/>
        </w:rPr>
      </w:pPr>
    </w:p>
    <w:p w14:paraId="6597EC96" w14:textId="33B68636" w:rsidR="00303D82" w:rsidRPr="005E3848" w:rsidRDefault="004450BB" w:rsidP="007035BD">
      <w:pPr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>The overall aim of the project is to increase learners’ motivation to learn English</w:t>
      </w:r>
      <w:r w:rsidR="00CB690D" w:rsidRPr="005E3848">
        <w:rPr>
          <w:rFonts w:ascii="Open Sans" w:hAnsi="Open Sans" w:cs="Open Sans"/>
        </w:rPr>
        <w:t xml:space="preserve"> across all partner organisations</w:t>
      </w:r>
      <w:r w:rsidRPr="005E3848">
        <w:rPr>
          <w:rFonts w:ascii="Open Sans" w:hAnsi="Open Sans" w:cs="Open Sans"/>
        </w:rPr>
        <w:t xml:space="preserve"> by enabling them to see the value of developing their English skills and practice.  The project focused on improving the</w:t>
      </w:r>
      <w:r w:rsidR="00652C0D" w:rsidRPr="005E3848">
        <w:rPr>
          <w:rFonts w:ascii="Open Sans" w:hAnsi="Open Sans" w:cs="Open Sans"/>
        </w:rPr>
        <w:t xml:space="preserve"> impact </w:t>
      </w:r>
      <w:r w:rsidRPr="005E3848">
        <w:rPr>
          <w:rFonts w:ascii="Open Sans" w:hAnsi="Open Sans" w:cs="Open Sans"/>
        </w:rPr>
        <w:t xml:space="preserve">of </w:t>
      </w:r>
      <w:r w:rsidR="00303D82">
        <w:rPr>
          <w:rFonts w:ascii="Open Sans" w:hAnsi="Open Sans" w:cs="Open Sans"/>
        </w:rPr>
        <w:t>information, advice and guidance (IAG)</w:t>
      </w:r>
      <w:r w:rsidRPr="005E3848">
        <w:rPr>
          <w:rFonts w:ascii="Open Sans" w:hAnsi="Open Sans" w:cs="Open Sans"/>
        </w:rPr>
        <w:t xml:space="preserve"> processes</w:t>
      </w:r>
      <w:r w:rsidR="00CB690D" w:rsidRPr="005E3848">
        <w:rPr>
          <w:rFonts w:ascii="Open Sans" w:hAnsi="Open Sans" w:cs="Open Sans"/>
        </w:rPr>
        <w:t xml:space="preserve"> </w:t>
      </w:r>
      <w:r w:rsidR="00652C0D" w:rsidRPr="005E3848">
        <w:rPr>
          <w:rFonts w:ascii="Open Sans" w:hAnsi="Open Sans" w:cs="Open Sans"/>
        </w:rPr>
        <w:t>to ensure l</w:t>
      </w:r>
      <w:r w:rsidRPr="005E3848">
        <w:rPr>
          <w:rFonts w:ascii="Open Sans" w:hAnsi="Open Sans" w:cs="Open Sans"/>
        </w:rPr>
        <w:t>earners gained a good understanding of their strengths and weak</w:t>
      </w:r>
      <w:r w:rsidR="00EA60B3" w:rsidRPr="005E3848">
        <w:rPr>
          <w:rFonts w:ascii="Open Sans" w:hAnsi="Open Sans" w:cs="Open Sans"/>
        </w:rPr>
        <w:t>nesses along with</w:t>
      </w:r>
      <w:r w:rsidR="00CB690D" w:rsidRPr="005E3848">
        <w:rPr>
          <w:rFonts w:ascii="Open Sans" w:hAnsi="Open Sans" w:cs="Open Sans"/>
        </w:rPr>
        <w:t xml:space="preserve"> </w:t>
      </w:r>
      <w:r w:rsidRPr="005E3848">
        <w:rPr>
          <w:rFonts w:ascii="Open Sans" w:hAnsi="Open Sans" w:cs="Open Sans"/>
        </w:rPr>
        <w:t xml:space="preserve">a strong awareness of the importance and relevance of good English </w:t>
      </w:r>
      <w:r w:rsidR="00CB690D" w:rsidRPr="005E3848">
        <w:rPr>
          <w:rFonts w:ascii="Open Sans" w:hAnsi="Open Sans" w:cs="Open Sans"/>
        </w:rPr>
        <w:t xml:space="preserve">skills to their future </w:t>
      </w:r>
      <w:r w:rsidRPr="005E3848">
        <w:rPr>
          <w:rFonts w:ascii="Open Sans" w:hAnsi="Open Sans" w:cs="Open Sans"/>
        </w:rPr>
        <w:t>a</w:t>
      </w:r>
      <w:r w:rsidR="00CB690D" w:rsidRPr="005E3848">
        <w:rPr>
          <w:rFonts w:ascii="Open Sans" w:hAnsi="Open Sans" w:cs="Open Sans"/>
        </w:rPr>
        <w:t>sp</w:t>
      </w:r>
      <w:r w:rsidR="00B21CE7">
        <w:rPr>
          <w:rFonts w:ascii="Open Sans" w:hAnsi="Open Sans" w:cs="Open Sans"/>
        </w:rPr>
        <w:t xml:space="preserve">irations.  </w:t>
      </w:r>
      <w:r w:rsidR="00652C0D" w:rsidRPr="005E3848">
        <w:rPr>
          <w:rFonts w:ascii="Open Sans" w:hAnsi="Open Sans" w:cs="Open Sans"/>
        </w:rPr>
        <w:t xml:space="preserve">The project also sought to improve the skills and confidence of </w:t>
      </w:r>
      <w:r w:rsidR="00EA60B3" w:rsidRPr="005E3848">
        <w:rPr>
          <w:rFonts w:ascii="Open Sans" w:hAnsi="Open Sans" w:cs="Open Sans"/>
        </w:rPr>
        <w:t xml:space="preserve">vocational </w:t>
      </w:r>
      <w:r w:rsidR="00652C0D" w:rsidRPr="005E3848">
        <w:rPr>
          <w:rFonts w:ascii="Open Sans" w:hAnsi="Open Sans" w:cs="Open Sans"/>
        </w:rPr>
        <w:t>tutor</w:t>
      </w:r>
      <w:r w:rsidR="00EA60B3" w:rsidRPr="005E3848">
        <w:rPr>
          <w:rFonts w:ascii="Open Sans" w:hAnsi="Open Sans" w:cs="Open Sans"/>
        </w:rPr>
        <w:t>s to provide outstanding and engaging experiences for their learners when teaching them English</w:t>
      </w:r>
      <w:r w:rsidR="00B21CE7">
        <w:rPr>
          <w:rFonts w:ascii="Open Sans" w:hAnsi="Open Sans" w:cs="Open Sans"/>
        </w:rPr>
        <w:t>.</w:t>
      </w:r>
      <w:r w:rsidRPr="005E3848">
        <w:rPr>
          <w:rFonts w:ascii="Open Sans" w:hAnsi="Open Sans" w:cs="Open Sans"/>
        </w:rPr>
        <w:t xml:space="preserve"> </w:t>
      </w:r>
    </w:p>
    <w:p w14:paraId="1CD1D1DA" w14:textId="77777777" w:rsidR="00706FCB" w:rsidRPr="004A5A6B" w:rsidRDefault="00E5334B" w:rsidP="007035BD">
      <w:pPr>
        <w:spacing w:after="120"/>
        <w:rPr>
          <w:rFonts w:ascii="Open Sans" w:hAnsi="Open Sans" w:cs="Open Sans"/>
          <w:b/>
          <w:color w:val="007096"/>
        </w:rPr>
      </w:pPr>
      <w:r w:rsidRPr="004A5A6B">
        <w:rPr>
          <w:rFonts w:ascii="Open Sans" w:hAnsi="Open Sans" w:cs="Open Sans"/>
          <w:b/>
          <w:color w:val="007096"/>
        </w:rPr>
        <w:t>Approach</w:t>
      </w:r>
    </w:p>
    <w:p w14:paraId="386C508B" w14:textId="1F15730A" w:rsidR="004363CA" w:rsidRPr="005E3848" w:rsidRDefault="00805E1D" w:rsidP="007035BD">
      <w:pPr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>LLC has</w:t>
      </w:r>
      <w:r w:rsidR="00EF7307" w:rsidRPr="005E3848">
        <w:rPr>
          <w:rFonts w:ascii="Open Sans" w:hAnsi="Open Sans" w:cs="Open Sans"/>
        </w:rPr>
        <w:t xml:space="preserve"> a successful track record of enabling learners wi</w:t>
      </w:r>
      <w:r w:rsidR="00C70DC8">
        <w:rPr>
          <w:rFonts w:ascii="Open Sans" w:hAnsi="Open Sans" w:cs="Open Sans"/>
        </w:rPr>
        <w:t>th complex barriers to use learning as a way</w:t>
      </w:r>
      <w:r w:rsidR="00EA60B3" w:rsidRPr="005E3848">
        <w:rPr>
          <w:rFonts w:ascii="Open Sans" w:hAnsi="Open Sans" w:cs="Open Sans"/>
        </w:rPr>
        <w:t xml:space="preserve"> to </w:t>
      </w:r>
      <w:r w:rsidR="005A2F6D" w:rsidRPr="005E3848">
        <w:rPr>
          <w:rFonts w:ascii="Open Sans" w:hAnsi="Open Sans" w:cs="Open Sans"/>
        </w:rPr>
        <w:t xml:space="preserve">gain self-esteem, confidence </w:t>
      </w:r>
      <w:r w:rsidR="00EA60B3" w:rsidRPr="005E3848">
        <w:rPr>
          <w:rFonts w:ascii="Open Sans" w:hAnsi="Open Sans" w:cs="Open Sans"/>
        </w:rPr>
        <w:lastRenderedPageBreak/>
        <w:t>and</w:t>
      </w:r>
      <w:r w:rsidR="005A2F6D" w:rsidRPr="005E3848">
        <w:rPr>
          <w:rFonts w:ascii="Open Sans" w:hAnsi="Open Sans" w:cs="Open Sans"/>
        </w:rPr>
        <w:t xml:space="preserve"> enjo</w:t>
      </w:r>
      <w:r w:rsidRPr="005E3848">
        <w:rPr>
          <w:rFonts w:ascii="Open Sans" w:hAnsi="Open Sans" w:cs="Open Sans"/>
        </w:rPr>
        <w:t>y</w:t>
      </w:r>
      <w:r w:rsidR="00C70DC8">
        <w:rPr>
          <w:rFonts w:ascii="Open Sans" w:hAnsi="Open Sans" w:cs="Open Sans"/>
        </w:rPr>
        <w:t>ment of</w:t>
      </w:r>
      <w:r w:rsidR="00EA60B3" w:rsidRPr="005E3848">
        <w:rPr>
          <w:rFonts w:ascii="Open Sans" w:hAnsi="Open Sans" w:cs="Open Sans"/>
        </w:rPr>
        <w:t xml:space="preserve"> </w:t>
      </w:r>
      <w:r w:rsidRPr="005E3848">
        <w:rPr>
          <w:rFonts w:ascii="Open Sans" w:hAnsi="Open Sans" w:cs="Open Sans"/>
        </w:rPr>
        <w:t>learning</w:t>
      </w:r>
      <w:r w:rsidR="00EA60B3" w:rsidRPr="005E3848">
        <w:rPr>
          <w:rFonts w:ascii="Open Sans" w:hAnsi="Open Sans" w:cs="Open Sans"/>
        </w:rPr>
        <w:t xml:space="preserve"> (Ofsted report 2014).</w:t>
      </w:r>
      <w:r w:rsidR="00C70DC8">
        <w:rPr>
          <w:rFonts w:ascii="Open Sans" w:hAnsi="Open Sans" w:cs="Open Sans"/>
        </w:rPr>
        <w:t xml:space="preserve"> </w:t>
      </w:r>
      <w:r w:rsidRPr="005E3848">
        <w:rPr>
          <w:rFonts w:ascii="Open Sans" w:hAnsi="Open Sans" w:cs="Open Sans"/>
        </w:rPr>
        <w:t>T</w:t>
      </w:r>
      <w:r w:rsidR="00EA60B3" w:rsidRPr="005E3848">
        <w:rPr>
          <w:rFonts w:ascii="Open Sans" w:hAnsi="Open Sans" w:cs="Open Sans"/>
        </w:rPr>
        <w:t>hey do, however,</w:t>
      </w:r>
      <w:r w:rsidR="005A2F6D" w:rsidRPr="005E3848">
        <w:rPr>
          <w:rFonts w:ascii="Open Sans" w:hAnsi="Open Sans" w:cs="Open Sans"/>
        </w:rPr>
        <w:t xml:space="preserve"> recognise that not all learners and tutors fully understand </w:t>
      </w:r>
      <w:r w:rsidR="00776B9B" w:rsidRPr="005E3848">
        <w:rPr>
          <w:rFonts w:ascii="Open Sans" w:hAnsi="Open Sans" w:cs="Open Sans"/>
        </w:rPr>
        <w:t>the impo</w:t>
      </w:r>
      <w:r w:rsidR="00C275A4" w:rsidRPr="005E3848">
        <w:rPr>
          <w:rFonts w:ascii="Open Sans" w:hAnsi="Open Sans" w:cs="Open Sans"/>
        </w:rPr>
        <w:t>r</w:t>
      </w:r>
      <w:r w:rsidR="00776B9B" w:rsidRPr="005E3848">
        <w:rPr>
          <w:rFonts w:ascii="Open Sans" w:hAnsi="Open Sans" w:cs="Open Sans"/>
        </w:rPr>
        <w:t>tance of developing good</w:t>
      </w:r>
      <w:r w:rsidR="00C275A4" w:rsidRPr="005E3848">
        <w:rPr>
          <w:rFonts w:ascii="Open Sans" w:hAnsi="Open Sans" w:cs="Open Sans"/>
        </w:rPr>
        <w:t xml:space="preserve"> </w:t>
      </w:r>
      <w:r w:rsidR="005A2F6D" w:rsidRPr="005E3848">
        <w:rPr>
          <w:rFonts w:ascii="Open Sans" w:hAnsi="Open Sans" w:cs="Open Sans"/>
        </w:rPr>
        <w:t>English</w:t>
      </w:r>
      <w:r w:rsidR="00776B9B" w:rsidRPr="005E3848">
        <w:rPr>
          <w:rFonts w:ascii="Open Sans" w:hAnsi="Open Sans" w:cs="Open Sans"/>
        </w:rPr>
        <w:t xml:space="preserve"> skills, and </w:t>
      </w:r>
      <w:r w:rsidR="00C70DC8">
        <w:rPr>
          <w:rFonts w:ascii="Open Sans" w:hAnsi="Open Sans" w:cs="Open Sans"/>
        </w:rPr>
        <w:t>how crucial this is in enabling</w:t>
      </w:r>
      <w:r w:rsidR="00776B9B" w:rsidRPr="005E3848">
        <w:rPr>
          <w:rFonts w:ascii="Open Sans" w:hAnsi="Open Sans" w:cs="Open Sans"/>
        </w:rPr>
        <w:t xml:space="preserve"> learners to </w:t>
      </w:r>
      <w:r w:rsidR="005E41B8" w:rsidRPr="005E3848">
        <w:rPr>
          <w:rFonts w:ascii="Open Sans" w:hAnsi="Open Sans" w:cs="Open Sans"/>
        </w:rPr>
        <w:t>access further train</w:t>
      </w:r>
      <w:r w:rsidR="00776B9B" w:rsidRPr="005E3848">
        <w:rPr>
          <w:rFonts w:ascii="Open Sans" w:hAnsi="Open Sans" w:cs="Open Sans"/>
        </w:rPr>
        <w:t>ing and employment</w:t>
      </w:r>
      <w:r w:rsidR="0040124A">
        <w:rPr>
          <w:rFonts w:ascii="Open Sans" w:hAnsi="Open Sans" w:cs="Open Sans"/>
        </w:rPr>
        <w:t>.</w:t>
      </w:r>
      <w:r w:rsidR="00C275A4" w:rsidRPr="005E3848">
        <w:rPr>
          <w:rFonts w:ascii="Open Sans" w:hAnsi="Open Sans" w:cs="Open Sans"/>
        </w:rPr>
        <w:t xml:space="preserve"> In addition to this, the effective promotion and development of English skills is not </w:t>
      </w:r>
      <w:r w:rsidR="00776B9B" w:rsidRPr="005E3848">
        <w:rPr>
          <w:rFonts w:ascii="Open Sans" w:hAnsi="Open Sans" w:cs="Open Sans"/>
        </w:rPr>
        <w:t xml:space="preserve">yet </w:t>
      </w:r>
      <w:r w:rsidR="005E41B8" w:rsidRPr="005E3848">
        <w:rPr>
          <w:rFonts w:ascii="Open Sans" w:hAnsi="Open Sans" w:cs="Open Sans"/>
        </w:rPr>
        <w:t>consistent</w:t>
      </w:r>
      <w:r w:rsidR="005A2F6D" w:rsidRPr="005E3848">
        <w:rPr>
          <w:rFonts w:ascii="Open Sans" w:hAnsi="Open Sans" w:cs="Open Sans"/>
        </w:rPr>
        <w:t xml:space="preserve"> </w:t>
      </w:r>
      <w:r w:rsidR="00C275A4" w:rsidRPr="005E3848">
        <w:rPr>
          <w:rFonts w:ascii="Open Sans" w:hAnsi="Open Sans" w:cs="Open Sans"/>
        </w:rPr>
        <w:t xml:space="preserve">across all areas of the partnership.  </w:t>
      </w:r>
    </w:p>
    <w:p w14:paraId="2E5AAEC0" w14:textId="77777777" w:rsidR="004450BB" w:rsidRPr="005E3848" w:rsidRDefault="00CB2D11" w:rsidP="007035BD">
      <w:pPr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>Equality and d</w:t>
      </w:r>
      <w:r w:rsidR="00805E1D" w:rsidRPr="005E3848">
        <w:rPr>
          <w:rFonts w:ascii="Open Sans" w:hAnsi="Open Sans" w:cs="Open Sans"/>
        </w:rPr>
        <w:t>iversity</w:t>
      </w:r>
      <w:r w:rsidRPr="005E3848">
        <w:rPr>
          <w:rFonts w:ascii="Open Sans" w:hAnsi="Open Sans" w:cs="Open Sans"/>
        </w:rPr>
        <w:t xml:space="preserve"> was em</w:t>
      </w:r>
      <w:r w:rsidR="00805E1D" w:rsidRPr="005E3848">
        <w:rPr>
          <w:rFonts w:ascii="Open Sans" w:hAnsi="Open Sans" w:cs="Open Sans"/>
        </w:rPr>
        <w:t>bedded throughout the project through</w:t>
      </w:r>
      <w:r w:rsidRPr="005E3848">
        <w:rPr>
          <w:rFonts w:ascii="Open Sans" w:hAnsi="Open Sans" w:cs="Open Sans"/>
        </w:rPr>
        <w:t>:</w:t>
      </w:r>
    </w:p>
    <w:p w14:paraId="67EED5D0" w14:textId="49AB1AE7" w:rsidR="00CB2D11" w:rsidRPr="005E3848" w:rsidRDefault="008132B4" w:rsidP="007035BD">
      <w:pPr>
        <w:pStyle w:val="ListParagraph"/>
        <w:numPr>
          <w:ilvl w:val="0"/>
          <w:numId w:val="2"/>
        </w:numPr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>Developing</w:t>
      </w:r>
      <w:r w:rsidR="00CB2D11" w:rsidRPr="005E3848">
        <w:rPr>
          <w:rFonts w:ascii="Open Sans" w:hAnsi="Open Sans" w:cs="Open Sans"/>
        </w:rPr>
        <w:t xml:space="preserve"> an equal relationship between partner organis</w:t>
      </w:r>
      <w:r w:rsidRPr="005E3848">
        <w:rPr>
          <w:rFonts w:ascii="Open Sans" w:hAnsi="Open Sans" w:cs="Open Sans"/>
        </w:rPr>
        <w:t>ations to achieve o</w:t>
      </w:r>
      <w:r w:rsidR="00805E1D" w:rsidRPr="005E3848">
        <w:rPr>
          <w:rFonts w:ascii="Open Sans" w:hAnsi="Open Sans" w:cs="Open Sans"/>
        </w:rPr>
        <w:t xml:space="preserve">utstanding </w:t>
      </w:r>
      <w:r w:rsidR="00CB2D11" w:rsidRPr="005E3848">
        <w:rPr>
          <w:rFonts w:ascii="Open Sans" w:hAnsi="Open Sans" w:cs="Open Sans"/>
        </w:rPr>
        <w:t>te</w:t>
      </w:r>
      <w:r w:rsidR="00805E1D" w:rsidRPr="005E3848">
        <w:rPr>
          <w:rFonts w:ascii="Open Sans" w:hAnsi="Open Sans" w:cs="Open Sans"/>
        </w:rPr>
        <w:t>aching and learning</w:t>
      </w:r>
      <w:r w:rsidR="0040124A">
        <w:rPr>
          <w:rFonts w:ascii="Open Sans" w:hAnsi="Open Sans" w:cs="Open Sans"/>
        </w:rPr>
        <w:t>.</w:t>
      </w:r>
    </w:p>
    <w:p w14:paraId="508D7323" w14:textId="77777777" w:rsidR="005658E2" w:rsidRPr="005E3848" w:rsidRDefault="008132B4" w:rsidP="007035BD">
      <w:pPr>
        <w:pStyle w:val="ListParagraph"/>
        <w:numPr>
          <w:ilvl w:val="0"/>
          <w:numId w:val="12"/>
        </w:numPr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 xml:space="preserve">Meeting individual needs </w:t>
      </w:r>
      <w:r w:rsidR="005658E2" w:rsidRPr="005E3848">
        <w:rPr>
          <w:rFonts w:ascii="Open Sans" w:hAnsi="Open Sans" w:cs="Open Sans"/>
        </w:rPr>
        <w:t xml:space="preserve">through </w:t>
      </w:r>
      <w:r w:rsidR="00805E1D" w:rsidRPr="005E3848">
        <w:rPr>
          <w:rFonts w:ascii="Open Sans" w:hAnsi="Open Sans" w:cs="Open Sans"/>
        </w:rPr>
        <w:t>improved processes and practice.</w:t>
      </w:r>
      <w:r w:rsidR="005658E2" w:rsidRPr="005E3848">
        <w:rPr>
          <w:rFonts w:ascii="Open Sans" w:hAnsi="Open Sans" w:cs="Open Sans"/>
        </w:rPr>
        <w:t xml:space="preserve"> </w:t>
      </w:r>
    </w:p>
    <w:p w14:paraId="230C31C9" w14:textId="5F3C9F42" w:rsidR="008132B4" w:rsidRPr="006C122D" w:rsidRDefault="008132B4" w:rsidP="006C122D">
      <w:pPr>
        <w:pStyle w:val="ListParagraph"/>
        <w:numPr>
          <w:ilvl w:val="0"/>
          <w:numId w:val="12"/>
        </w:numPr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 xml:space="preserve">Using learners’ </w:t>
      </w:r>
      <w:r w:rsidR="005658E2" w:rsidRPr="005E3848">
        <w:rPr>
          <w:rFonts w:ascii="Open Sans" w:hAnsi="Open Sans" w:cs="Open Sans"/>
        </w:rPr>
        <w:t>feedback</w:t>
      </w:r>
      <w:r w:rsidR="00805E1D" w:rsidRPr="005E3848">
        <w:rPr>
          <w:rFonts w:ascii="Open Sans" w:hAnsi="Open Sans" w:cs="Open Sans"/>
        </w:rPr>
        <w:t xml:space="preserve"> to </w:t>
      </w:r>
      <w:r w:rsidR="00CB690D" w:rsidRPr="005E3848">
        <w:rPr>
          <w:rFonts w:ascii="Open Sans" w:hAnsi="Open Sans" w:cs="Open Sans"/>
        </w:rPr>
        <w:t xml:space="preserve">help tutors understand </w:t>
      </w:r>
      <w:r w:rsidR="005658E2" w:rsidRPr="005E3848">
        <w:rPr>
          <w:rFonts w:ascii="Open Sans" w:hAnsi="Open Sans" w:cs="Open Sans"/>
        </w:rPr>
        <w:t>outsta</w:t>
      </w:r>
      <w:r w:rsidRPr="005E3848">
        <w:rPr>
          <w:rFonts w:ascii="Open Sans" w:hAnsi="Open Sans" w:cs="Open Sans"/>
        </w:rPr>
        <w:t xml:space="preserve">nding learning from their </w:t>
      </w:r>
      <w:r w:rsidR="005658E2" w:rsidRPr="005E3848">
        <w:rPr>
          <w:rFonts w:ascii="Open Sans" w:hAnsi="Open Sans" w:cs="Open Sans"/>
        </w:rPr>
        <w:t xml:space="preserve">perspective.  </w:t>
      </w:r>
    </w:p>
    <w:p w14:paraId="6A9F0587" w14:textId="6A5A1C64" w:rsidR="00011328" w:rsidRPr="003C71FE" w:rsidRDefault="005E41B8" w:rsidP="007035BD">
      <w:pPr>
        <w:autoSpaceDE w:val="0"/>
        <w:autoSpaceDN w:val="0"/>
        <w:adjustRightInd w:val="0"/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>T</w:t>
      </w:r>
      <w:r w:rsidR="00A74A43" w:rsidRPr="005E3848">
        <w:rPr>
          <w:rFonts w:ascii="Open Sans" w:hAnsi="Open Sans" w:cs="Open Sans"/>
        </w:rPr>
        <w:t xml:space="preserve">aking a holistic approach to the achievement of </w:t>
      </w:r>
      <w:r w:rsidR="00011328" w:rsidRPr="005E3848">
        <w:rPr>
          <w:rFonts w:ascii="Open Sans" w:hAnsi="Open Sans" w:cs="Open Sans"/>
        </w:rPr>
        <w:t xml:space="preserve">outstanding teaching, learning and </w:t>
      </w:r>
      <w:r w:rsidR="00011328" w:rsidRPr="003C71FE">
        <w:rPr>
          <w:rFonts w:ascii="Open Sans" w:hAnsi="Open Sans" w:cs="Open Sans"/>
        </w:rPr>
        <w:t>assessment</w:t>
      </w:r>
      <w:r w:rsidR="00A74A43" w:rsidRPr="003C71FE">
        <w:rPr>
          <w:rFonts w:ascii="Open Sans" w:hAnsi="Open Sans" w:cs="Open Sans"/>
        </w:rPr>
        <w:t xml:space="preserve">, </w:t>
      </w:r>
      <w:r w:rsidR="002B76A9">
        <w:rPr>
          <w:rFonts w:ascii="Open Sans" w:hAnsi="Open Sans" w:cs="Open Sans"/>
        </w:rPr>
        <w:t>LL</w:t>
      </w:r>
      <w:r w:rsidR="00776B9B" w:rsidRPr="003C71FE">
        <w:rPr>
          <w:rFonts w:ascii="Open Sans" w:hAnsi="Open Sans" w:cs="Open Sans"/>
        </w:rPr>
        <w:t xml:space="preserve">C and </w:t>
      </w:r>
      <w:r w:rsidR="00D10EB1">
        <w:rPr>
          <w:rFonts w:ascii="Open Sans" w:hAnsi="Open Sans" w:cs="Open Sans"/>
        </w:rPr>
        <w:t>its</w:t>
      </w:r>
      <w:r w:rsidR="00776B9B" w:rsidRPr="003C71FE">
        <w:rPr>
          <w:rFonts w:ascii="Open Sans" w:hAnsi="Open Sans" w:cs="Open Sans"/>
        </w:rPr>
        <w:t xml:space="preserve"> </w:t>
      </w:r>
      <w:r w:rsidR="00A74A43" w:rsidRPr="003C71FE">
        <w:rPr>
          <w:rFonts w:ascii="Open Sans" w:hAnsi="Open Sans" w:cs="Open Sans"/>
        </w:rPr>
        <w:t>partners worked together on a range of activities that included:</w:t>
      </w:r>
      <w:r w:rsidR="00011328" w:rsidRPr="003C71FE">
        <w:rPr>
          <w:rFonts w:ascii="Open Sans" w:hAnsi="Open Sans" w:cs="Open Sans"/>
        </w:rPr>
        <w:t xml:space="preserve">  </w:t>
      </w:r>
    </w:p>
    <w:p w14:paraId="71A3FEE8" w14:textId="4FBDC783" w:rsidR="00011328" w:rsidRPr="003C71FE" w:rsidRDefault="00011328" w:rsidP="007035B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Open Sans" w:hAnsi="Open Sans" w:cs="Open Sans"/>
        </w:rPr>
      </w:pPr>
      <w:r w:rsidRPr="003C71FE">
        <w:rPr>
          <w:rFonts w:ascii="Open Sans" w:hAnsi="Open Sans" w:cs="Open Sans"/>
        </w:rPr>
        <w:t>Improving the skills and knowledge of IAG advisors through</w:t>
      </w:r>
      <w:r w:rsidR="00A74A43" w:rsidRPr="003C71FE">
        <w:rPr>
          <w:rFonts w:ascii="Open Sans" w:hAnsi="Open Sans" w:cs="Open Sans"/>
        </w:rPr>
        <w:t xml:space="preserve"> observations, </w:t>
      </w:r>
      <w:r w:rsidR="00776B9B" w:rsidRPr="003C71FE">
        <w:rPr>
          <w:rFonts w:ascii="Open Sans" w:hAnsi="Open Sans" w:cs="Open Sans"/>
        </w:rPr>
        <w:t>learner feedback and training.</w:t>
      </w:r>
      <w:r w:rsidR="00C144D0" w:rsidRPr="003C71FE">
        <w:rPr>
          <w:rFonts w:ascii="Open Sans" w:hAnsi="Open Sans" w:cs="Open Sans"/>
        </w:rPr>
        <w:t xml:space="preserve"> </w:t>
      </w:r>
    </w:p>
    <w:p w14:paraId="3B76F594" w14:textId="05AC68C7" w:rsidR="00A74A43" w:rsidRPr="005E3848" w:rsidRDefault="00A74A43" w:rsidP="007035B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Open Sans" w:hAnsi="Open Sans" w:cs="Open Sans"/>
        </w:rPr>
      </w:pPr>
      <w:r w:rsidRPr="003C71FE">
        <w:rPr>
          <w:rFonts w:ascii="Open Sans" w:hAnsi="Open Sans" w:cs="Open Sans"/>
        </w:rPr>
        <w:t xml:space="preserve">Close collaboration between </w:t>
      </w:r>
      <w:r w:rsidR="00A701E9">
        <w:rPr>
          <w:rFonts w:ascii="Open Sans" w:hAnsi="Open Sans" w:cs="Open Sans"/>
        </w:rPr>
        <w:t>t</w:t>
      </w:r>
      <w:r w:rsidR="00F5603E" w:rsidRPr="003C71FE">
        <w:rPr>
          <w:rFonts w:ascii="Open Sans" w:hAnsi="Open Sans" w:cs="Open Sans"/>
        </w:rPr>
        <w:t xml:space="preserve">utors </w:t>
      </w:r>
      <w:r w:rsidRPr="003C71FE">
        <w:rPr>
          <w:rFonts w:ascii="Open Sans" w:hAnsi="Open Sans" w:cs="Open Sans"/>
        </w:rPr>
        <w:t xml:space="preserve">and IAG staff to ensure that </w:t>
      </w:r>
      <w:r w:rsidR="00776B9B" w:rsidRPr="003C71FE">
        <w:rPr>
          <w:rFonts w:ascii="Open Sans" w:hAnsi="Open Sans" w:cs="Open Sans"/>
        </w:rPr>
        <w:t>initial assessment processes can be used effectively to personalise and improve learning</w:t>
      </w:r>
      <w:r w:rsidR="00776B9B" w:rsidRPr="005E3848">
        <w:rPr>
          <w:rFonts w:ascii="Open Sans" w:hAnsi="Open Sans" w:cs="Open Sans"/>
        </w:rPr>
        <w:t>.</w:t>
      </w:r>
      <w:r w:rsidRPr="005E3848">
        <w:rPr>
          <w:rFonts w:ascii="Open Sans" w:hAnsi="Open Sans" w:cs="Open Sans"/>
        </w:rPr>
        <w:t xml:space="preserve"> </w:t>
      </w:r>
    </w:p>
    <w:p w14:paraId="5DB80CCD" w14:textId="77777777" w:rsidR="00011328" w:rsidRPr="005E3848" w:rsidRDefault="00011328" w:rsidP="007035B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>Tutors</w:t>
      </w:r>
      <w:r w:rsidR="00A74A43" w:rsidRPr="005E3848">
        <w:rPr>
          <w:rFonts w:ascii="Open Sans" w:hAnsi="Open Sans" w:cs="Open Sans"/>
        </w:rPr>
        <w:t xml:space="preserve"> working collaboratively</w:t>
      </w:r>
      <w:r w:rsidR="00776B9B" w:rsidRPr="005E3848">
        <w:rPr>
          <w:rFonts w:ascii="Open Sans" w:hAnsi="Open Sans" w:cs="Open Sans"/>
        </w:rPr>
        <w:t xml:space="preserve"> across partnerships</w:t>
      </w:r>
      <w:r w:rsidR="00A74A43" w:rsidRPr="005E3848">
        <w:rPr>
          <w:rFonts w:ascii="Open Sans" w:hAnsi="Open Sans" w:cs="Open Sans"/>
        </w:rPr>
        <w:t xml:space="preserve"> to improve their </w:t>
      </w:r>
      <w:r w:rsidR="00776B9B" w:rsidRPr="005E3848">
        <w:rPr>
          <w:rFonts w:ascii="Open Sans" w:hAnsi="Open Sans" w:cs="Open Sans"/>
        </w:rPr>
        <w:t>skills and</w:t>
      </w:r>
      <w:r w:rsidR="00A74A43" w:rsidRPr="005E3848">
        <w:rPr>
          <w:rFonts w:ascii="Open Sans" w:hAnsi="Open Sans" w:cs="Open Sans"/>
        </w:rPr>
        <w:t xml:space="preserve"> confidence, and</w:t>
      </w:r>
      <w:r w:rsidR="00A933BE" w:rsidRPr="005E3848">
        <w:rPr>
          <w:rFonts w:ascii="Open Sans" w:hAnsi="Open Sans" w:cs="Open Sans"/>
        </w:rPr>
        <w:t xml:space="preserve"> </w:t>
      </w:r>
      <w:r w:rsidR="00776B9B" w:rsidRPr="005E3848">
        <w:rPr>
          <w:rFonts w:ascii="Open Sans" w:hAnsi="Open Sans" w:cs="Open Sans"/>
        </w:rPr>
        <w:t xml:space="preserve">to </w:t>
      </w:r>
      <w:r w:rsidRPr="005E3848">
        <w:rPr>
          <w:rFonts w:ascii="Open Sans" w:hAnsi="Open Sans" w:cs="Open Sans"/>
        </w:rPr>
        <w:t>develop and share cr</w:t>
      </w:r>
      <w:r w:rsidR="00A933BE" w:rsidRPr="005E3848">
        <w:rPr>
          <w:rFonts w:ascii="Open Sans" w:hAnsi="Open Sans" w:cs="Open Sans"/>
        </w:rPr>
        <w:t xml:space="preserve">eative ways to overcome learners’ barriers to English. </w:t>
      </w:r>
    </w:p>
    <w:p w14:paraId="78CFECBC" w14:textId="7ADC62E9" w:rsidR="00A933BE" w:rsidRPr="005E3848" w:rsidRDefault="005E41B8" w:rsidP="007035B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>P</w:t>
      </w:r>
      <w:r w:rsidR="00A933BE" w:rsidRPr="005E3848">
        <w:rPr>
          <w:rFonts w:ascii="Open Sans" w:hAnsi="Open Sans" w:cs="Open Sans"/>
        </w:rPr>
        <w:t>artner meetings to share and develop resources and approaches</w:t>
      </w:r>
      <w:r w:rsidR="00FB5386">
        <w:rPr>
          <w:rFonts w:ascii="Open Sans" w:hAnsi="Open Sans" w:cs="Open Sans"/>
        </w:rPr>
        <w:t>.</w:t>
      </w:r>
    </w:p>
    <w:p w14:paraId="5BB9E773" w14:textId="73CB7722" w:rsidR="00A933BE" w:rsidRPr="005E3848" w:rsidRDefault="00A933BE" w:rsidP="007035B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 xml:space="preserve">Staff taking responsibility for </w:t>
      </w:r>
      <w:r w:rsidR="005E41B8" w:rsidRPr="005E3848">
        <w:rPr>
          <w:rFonts w:ascii="Open Sans" w:hAnsi="Open Sans" w:cs="Open Sans"/>
        </w:rPr>
        <w:t xml:space="preserve">planning </w:t>
      </w:r>
      <w:r w:rsidR="00A701E9">
        <w:rPr>
          <w:rFonts w:ascii="Open Sans" w:hAnsi="Open Sans" w:cs="Open Sans"/>
        </w:rPr>
        <w:t>their own continuing professional development (CPD)</w:t>
      </w:r>
      <w:r w:rsidRPr="005E3848">
        <w:rPr>
          <w:rFonts w:ascii="Open Sans" w:hAnsi="Open Sans" w:cs="Open Sans"/>
        </w:rPr>
        <w:t xml:space="preserve"> based on feed</w:t>
      </w:r>
      <w:r w:rsidR="00776B9B" w:rsidRPr="005E3848">
        <w:rPr>
          <w:rFonts w:ascii="Open Sans" w:hAnsi="Open Sans" w:cs="Open Sans"/>
        </w:rPr>
        <w:t>back from learners and observations</w:t>
      </w:r>
      <w:r w:rsidR="00FB5386">
        <w:rPr>
          <w:rFonts w:ascii="Open Sans" w:hAnsi="Open Sans" w:cs="Open Sans"/>
        </w:rPr>
        <w:t>.</w:t>
      </w:r>
      <w:r w:rsidR="00776B9B" w:rsidRPr="005E3848">
        <w:rPr>
          <w:rFonts w:ascii="Open Sans" w:hAnsi="Open Sans" w:cs="Open Sans"/>
        </w:rPr>
        <w:t xml:space="preserve"> </w:t>
      </w:r>
    </w:p>
    <w:p w14:paraId="05F10A10" w14:textId="77777777" w:rsidR="00B07BA3" w:rsidRPr="005E3848" w:rsidRDefault="00B07BA3" w:rsidP="007035B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>Involving learners in planning and restructuring the teac</w:t>
      </w:r>
      <w:r w:rsidR="005E41B8" w:rsidRPr="005E3848">
        <w:rPr>
          <w:rFonts w:ascii="Open Sans" w:hAnsi="Open Sans" w:cs="Open Sans"/>
        </w:rPr>
        <w:t xml:space="preserve">hing assistant course to </w:t>
      </w:r>
      <w:r w:rsidR="00776B9B" w:rsidRPr="005E3848">
        <w:rPr>
          <w:rFonts w:ascii="Open Sans" w:hAnsi="Open Sans" w:cs="Open Sans"/>
        </w:rPr>
        <w:t>better support their learning</w:t>
      </w:r>
      <w:r w:rsidR="005E41B8" w:rsidRPr="005E3848">
        <w:rPr>
          <w:rFonts w:ascii="Open Sans" w:hAnsi="Open Sans" w:cs="Open Sans"/>
        </w:rPr>
        <w:t xml:space="preserve"> needs</w:t>
      </w:r>
      <w:r w:rsidR="00776B9B" w:rsidRPr="005E3848">
        <w:rPr>
          <w:rFonts w:ascii="Open Sans" w:hAnsi="Open Sans" w:cs="Open Sans"/>
        </w:rPr>
        <w:t xml:space="preserve"> and priorities.</w:t>
      </w:r>
    </w:p>
    <w:p w14:paraId="0B1BAEC7" w14:textId="1CDB883A" w:rsidR="00F5603E" w:rsidRPr="005E3848" w:rsidRDefault="00180785" w:rsidP="007035B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 xml:space="preserve">Embedding the </w:t>
      </w:r>
      <w:r w:rsidR="00FB5386">
        <w:rPr>
          <w:rFonts w:ascii="Open Sans" w:hAnsi="Open Sans" w:cs="Open Sans"/>
        </w:rPr>
        <w:t>Professional S</w:t>
      </w:r>
      <w:r w:rsidR="00F5603E" w:rsidRPr="005E3848">
        <w:rPr>
          <w:rFonts w:ascii="Open Sans" w:hAnsi="Open Sans" w:cs="Open Sans"/>
        </w:rPr>
        <w:t>tan</w:t>
      </w:r>
      <w:r w:rsidRPr="005E3848">
        <w:rPr>
          <w:rFonts w:ascii="Open Sans" w:hAnsi="Open Sans" w:cs="Open Sans"/>
        </w:rPr>
        <w:t xml:space="preserve">dards </w:t>
      </w:r>
      <w:r w:rsidR="00F5603E" w:rsidRPr="005E3848">
        <w:rPr>
          <w:rFonts w:ascii="Open Sans" w:hAnsi="Open Sans" w:cs="Open Sans"/>
        </w:rPr>
        <w:t>in observation, staff development and appraisal processes</w:t>
      </w:r>
      <w:r w:rsidR="00FB5386">
        <w:rPr>
          <w:rFonts w:ascii="Open Sans" w:hAnsi="Open Sans" w:cs="Open Sans"/>
        </w:rPr>
        <w:t>.</w:t>
      </w:r>
    </w:p>
    <w:p w14:paraId="400CCD27" w14:textId="77777777" w:rsidR="00504F92" w:rsidRPr="005E3848" w:rsidRDefault="00180785" w:rsidP="007035B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>Using peer observations</w:t>
      </w:r>
      <w:r w:rsidR="0014335C" w:rsidRPr="005E3848">
        <w:rPr>
          <w:rFonts w:ascii="Open Sans" w:hAnsi="Open Sans" w:cs="Open Sans"/>
        </w:rPr>
        <w:t xml:space="preserve"> (tutors observing each other’s lessons)</w:t>
      </w:r>
      <w:r w:rsidRPr="005E3848">
        <w:rPr>
          <w:rFonts w:ascii="Open Sans" w:hAnsi="Open Sans" w:cs="Open Sans"/>
        </w:rPr>
        <w:t xml:space="preserve"> </w:t>
      </w:r>
      <w:r w:rsidR="00504F92" w:rsidRPr="005E3848">
        <w:rPr>
          <w:rFonts w:ascii="Open Sans" w:hAnsi="Open Sans" w:cs="Open Sans"/>
        </w:rPr>
        <w:t>to enable staff to gain a better understanding of the impact of teaching on learning.</w:t>
      </w:r>
    </w:p>
    <w:p w14:paraId="7C479A48" w14:textId="77777777" w:rsidR="006C122D" w:rsidRDefault="006C122D" w:rsidP="007035BD">
      <w:pPr>
        <w:pStyle w:val="Heading1"/>
        <w:spacing w:before="0" w:after="120"/>
        <w:rPr>
          <w:rFonts w:ascii="Open Sans" w:hAnsi="Open Sans" w:cs="Open Sans"/>
          <w:color w:val="007096"/>
          <w:sz w:val="22"/>
          <w:szCs w:val="22"/>
        </w:rPr>
      </w:pPr>
    </w:p>
    <w:p w14:paraId="673F622E" w14:textId="222CAE90" w:rsidR="0048489A" w:rsidRPr="003C71FE" w:rsidRDefault="00660824" w:rsidP="007035BD">
      <w:pPr>
        <w:pStyle w:val="Heading1"/>
        <w:spacing w:before="0" w:after="120"/>
        <w:rPr>
          <w:rFonts w:ascii="Open Sans" w:hAnsi="Open Sans" w:cs="Open Sans"/>
          <w:color w:val="007096"/>
          <w:sz w:val="22"/>
          <w:szCs w:val="22"/>
        </w:rPr>
      </w:pPr>
      <w:r w:rsidRPr="004A5A6B">
        <w:rPr>
          <w:rFonts w:ascii="Open Sans" w:hAnsi="Open Sans" w:cs="Open Sans"/>
          <w:color w:val="007096"/>
          <w:sz w:val="22"/>
          <w:szCs w:val="22"/>
        </w:rPr>
        <w:t>Outcomes and impact</w:t>
      </w:r>
    </w:p>
    <w:p w14:paraId="05A67D7E" w14:textId="77777777" w:rsidR="00B07BA3" w:rsidRPr="003C71FE" w:rsidRDefault="00B07BA3" w:rsidP="007035BD">
      <w:pPr>
        <w:spacing w:after="120"/>
        <w:ind w:firstLine="360"/>
        <w:rPr>
          <w:rFonts w:ascii="Open Sans" w:hAnsi="Open Sans" w:cs="Open Sans"/>
          <w:b/>
          <w:color w:val="007096"/>
        </w:rPr>
      </w:pPr>
      <w:r w:rsidRPr="003C71FE">
        <w:rPr>
          <w:rFonts w:ascii="Open Sans" w:hAnsi="Open Sans" w:cs="Open Sans"/>
          <w:b/>
          <w:color w:val="007096"/>
        </w:rPr>
        <w:t>Outcome</w:t>
      </w:r>
      <w:r w:rsidR="005E41B8" w:rsidRPr="003C71FE">
        <w:rPr>
          <w:rFonts w:ascii="Open Sans" w:hAnsi="Open Sans" w:cs="Open Sans"/>
          <w:b/>
          <w:color w:val="007096"/>
        </w:rPr>
        <w:t>s</w:t>
      </w:r>
    </w:p>
    <w:p w14:paraId="449D18AE" w14:textId="5B459378" w:rsidR="0048489A" w:rsidRPr="003C71FE" w:rsidRDefault="0048489A" w:rsidP="007035BD">
      <w:pPr>
        <w:pStyle w:val="ListParagraph"/>
        <w:numPr>
          <w:ilvl w:val="0"/>
          <w:numId w:val="16"/>
        </w:numPr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lastRenderedPageBreak/>
        <w:t xml:space="preserve">A restructured curriculum and scheme of work for the level 2 </w:t>
      </w:r>
      <w:r w:rsidR="00FB5386">
        <w:rPr>
          <w:rFonts w:ascii="Open Sans" w:hAnsi="Open Sans" w:cs="Open Sans"/>
        </w:rPr>
        <w:t>teaching a</w:t>
      </w:r>
      <w:r w:rsidR="00167C21">
        <w:rPr>
          <w:rFonts w:ascii="Open Sans" w:hAnsi="Open Sans" w:cs="Open Sans"/>
        </w:rPr>
        <w:t>ssistant</w:t>
      </w:r>
      <w:r w:rsidRPr="005E3848">
        <w:rPr>
          <w:rFonts w:ascii="Open Sans" w:hAnsi="Open Sans" w:cs="Open Sans"/>
        </w:rPr>
        <w:t xml:space="preserve"> course, with English and maths delivery taking place before the vocational content</w:t>
      </w:r>
      <w:r w:rsidR="00167C21">
        <w:rPr>
          <w:rFonts w:ascii="Open Sans" w:hAnsi="Open Sans" w:cs="Open Sans"/>
        </w:rPr>
        <w:t>.</w:t>
      </w:r>
    </w:p>
    <w:p w14:paraId="59C89251" w14:textId="6DA17F53" w:rsidR="0048489A" w:rsidRPr="005E3848" w:rsidRDefault="0048489A" w:rsidP="007035BD">
      <w:pPr>
        <w:pStyle w:val="ListParagraph"/>
        <w:numPr>
          <w:ilvl w:val="0"/>
          <w:numId w:val="16"/>
        </w:numPr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 xml:space="preserve">Learner feedback indicates that they have a better understanding of their strengths and weaknesses with regard to English, and know what they need to do to progress into, for example, vocational </w:t>
      </w:r>
      <w:r w:rsidR="003C71FE">
        <w:rPr>
          <w:rFonts w:ascii="Open Sans" w:hAnsi="Open Sans" w:cs="Open Sans"/>
        </w:rPr>
        <w:t>studies for future employment.</w:t>
      </w:r>
    </w:p>
    <w:p w14:paraId="2B28546B" w14:textId="3D2AF86A" w:rsidR="001D7E2F" w:rsidRPr="003C71FE" w:rsidRDefault="00E00B35" w:rsidP="007035BD">
      <w:pPr>
        <w:pStyle w:val="ListParagraph"/>
        <w:numPr>
          <w:ilvl w:val="0"/>
          <w:numId w:val="16"/>
        </w:numPr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>Learners changed their attitude to academic study.  They were able t</w:t>
      </w:r>
      <w:r w:rsidR="004B56D4" w:rsidRPr="005E3848">
        <w:rPr>
          <w:rFonts w:ascii="Open Sans" w:hAnsi="Open Sans" w:cs="Open Sans"/>
        </w:rPr>
        <w:t>o use technical terminology well, enabling</w:t>
      </w:r>
      <w:r w:rsidRPr="005E3848">
        <w:rPr>
          <w:rFonts w:ascii="Open Sans" w:hAnsi="Open Sans" w:cs="Open Sans"/>
        </w:rPr>
        <w:t xml:space="preserve"> </w:t>
      </w:r>
      <w:r w:rsidR="004B56D4" w:rsidRPr="005E3848">
        <w:rPr>
          <w:rFonts w:ascii="Open Sans" w:hAnsi="Open Sans" w:cs="Open Sans"/>
        </w:rPr>
        <w:t xml:space="preserve">them to communicate </w:t>
      </w:r>
      <w:r w:rsidRPr="005E3848">
        <w:rPr>
          <w:rFonts w:ascii="Open Sans" w:hAnsi="Open Sans" w:cs="Open Sans"/>
        </w:rPr>
        <w:t xml:space="preserve">effectively with colleagues in their work </w:t>
      </w:r>
      <w:r w:rsidR="0014335C" w:rsidRPr="005E3848">
        <w:rPr>
          <w:rFonts w:ascii="Open Sans" w:hAnsi="Open Sans" w:cs="Open Sans"/>
        </w:rPr>
        <w:t>placements.  This led to better placements and job offers.</w:t>
      </w:r>
    </w:p>
    <w:p w14:paraId="453B4A3D" w14:textId="77777777" w:rsidR="005955EA" w:rsidRPr="005E3848" w:rsidRDefault="001D7E2F" w:rsidP="007035BD">
      <w:pPr>
        <w:pStyle w:val="ListParagraph"/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>Learners said:</w:t>
      </w:r>
    </w:p>
    <w:p w14:paraId="0B916153" w14:textId="600D2AB8" w:rsidR="005955EA" w:rsidRPr="003C71FE" w:rsidRDefault="003C71FE" w:rsidP="007035BD">
      <w:pPr>
        <w:pStyle w:val="ListParagraph"/>
        <w:spacing w:after="120"/>
        <w:rPr>
          <w:rFonts w:ascii="Open Sans" w:hAnsi="Open Sans" w:cs="Open Sans"/>
          <w:i/>
          <w:color w:val="007096"/>
        </w:rPr>
      </w:pPr>
      <w:r>
        <w:rPr>
          <w:rFonts w:ascii="Open Sans" w:hAnsi="Open Sans" w:cs="Open Sans"/>
          <w:i/>
          <w:color w:val="007096"/>
        </w:rPr>
        <w:t>“</w:t>
      </w:r>
      <w:r w:rsidR="005955EA" w:rsidRPr="003C71FE">
        <w:rPr>
          <w:rFonts w:ascii="Open Sans" w:hAnsi="Open Sans" w:cs="Open Sans"/>
          <w:i/>
          <w:color w:val="007096"/>
        </w:rPr>
        <w:t>I feel like I have climbed out of a black hole, and can now see the world better, and be part of it</w:t>
      </w:r>
      <w:r w:rsidR="00167C21">
        <w:rPr>
          <w:rFonts w:ascii="Open Sans" w:hAnsi="Open Sans" w:cs="Open Sans"/>
          <w:i/>
          <w:color w:val="007096"/>
        </w:rPr>
        <w:t>.</w:t>
      </w:r>
      <w:r w:rsidR="005955EA" w:rsidRPr="003C71FE">
        <w:rPr>
          <w:rFonts w:ascii="Open Sans" w:hAnsi="Open Sans" w:cs="Open Sans"/>
          <w:i/>
          <w:color w:val="007096"/>
        </w:rPr>
        <w:t>”</w:t>
      </w:r>
      <w:r w:rsidR="001D7E2F" w:rsidRPr="003C71FE">
        <w:rPr>
          <w:rFonts w:ascii="Open Sans" w:hAnsi="Open Sans" w:cs="Open Sans"/>
          <w:i/>
          <w:color w:val="007096"/>
        </w:rPr>
        <w:t xml:space="preserve"> </w:t>
      </w:r>
    </w:p>
    <w:p w14:paraId="7726B310" w14:textId="742CB3B3" w:rsidR="005955EA" w:rsidRPr="003C71FE" w:rsidRDefault="005955EA" w:rsidP="007035BD">
      <w:pPr>
        <w:pStyle w:val="ListParagraph"/>
        <w:spacing w:after="120"/>
        <w:rPr>
          <w:rFonts w:ascii="Open Sans" w:hAnsi="Open Sans" w:cs="Open Sans"/>
          <w:i/>
          <w:color w:val="007096"/>
        </w:rPr>
      </w:pPr>
      <w:r w:rsidRPr="003C71FE">
        <w:rPr>
          <w:rFonts w:ascii="Open Sans" w:hAnsi="Open Sans" w:cs="Open Sans"/>
          <w:i/>
          <w:color w:val="007096"/>
        </w:rPr>
        <w:t>“I know what is right and wrong without using spell check now</w:t>
      </w:r>
      <w:r w:rsidR="00167C21">
        <w:rPr>
          <w:rFonts w:ascii="Open Sans" w:hAnsi="Open Sans" w:cs="Open Sans"/>
          <w:i/>
          <w:color w:val="007096"/>
        </w:rPr>
        <w:t>.</w:t>
      </w:r>
      <w:r w:rsidRPr="003C71FE">
        <w:rPr>
          <w:rFonts w:ascii="Open Sans" w:hAnsi="Open Sans" w:cs="Open Sans"/>
          <w:i/>
          <w:color w:val="007096"/>
        </w:rPr>
        <w:t>”</w:t>
      </w:r>
    </w:p>
    <w:p w14:paraId="7242D54B" w14:textId="71F6D894" w:rsidR="001D7E2F" w:rsidRPr="003C71FE" w:rsidRDefault="005955EA" w:rsidP="007035BD">
      <w:pPr>
        <w:pStyle w:val="ListParagraph"/>
        <w:spacing w:after="120"/>
        <w:rPr>
          <w:rFonts w:ascii="Open Sans" w:hAnsi="Open Sans" w:cs="Open Sans"/>
          <w:i/>
          <w:color w:val="007096"/>
        </w:rPr>
      </w:pPr>
      <w:r w:rsidRPr="003C71FE">
        <w:rPr>
          <w:rFonts w:ascii="Open Sans" w:hAnsi="Open Sans" w:cs="Open Sans"/>
          <w:i/>
          <w:color w:val="007096"/>
        </w:rPr>
        <w:t>“I know why formal language is important at work, and I am more confident in the staff room</w:t>
      </w:r>
      <w:r w:rsidR="00167C21">
        <w:rPr>
          <w:rFonts w:ascii="Open Sans" w:hAnsi="Open Sans" w:cs="Open Sans"/>
          <w:i/>
          <w:color w:val="007096"/>
        </w:rPr>
        <w:t>.</w:t>
      </w:r>
      <w:r w:rsidRPr="003C71FE">
        <w:rPr>
          <w:rFonts w:ascii="Open Sans" w:hAnsi="Open Sans" w:cs="Open Sans"/>
          <w:i/>
          <w:color w:val="007096"/>
        </w:rPr>
        <w:t>”</w:t>
      </w:r>
      <w:r w:rsidR="001D7E2F" w:rsidRPr="003C71FE">
        <w:rPr>
          <w:rFonts w:ascii="Open Sans" w:hAnsi="Open Sans" w:cs="Open Sans"/>
          <w:i/>
          <w:color w:val="007096"/>
        </w:rPr>
        <w:t xml:space="preserve"> </w:t>
      </w:r>
    </w:p>
    <w:p w14:paraId="08FDA57F" w14:textId="77777777" w:rsidR="00E00B35" w:rsidRPr="005E3848" w:rsidRDefault="00E00B35" w:rsidP="007035BD">
      <w:pPr>
        <w:pStyle w:val="ListParagraph"/>
        <w:numPr>
          <w:ilvl w:val="0"/>
          <w:numId w:val="16"/>
        </w:numPr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 xml:space="preserve">Prior to starting the course, learners have a good understanding of how improving their English skills will help to progress further.  This awareness has significantly increased learners’ motivation </w:t>
      </w:r>
      <w:r w:rsidR="004B56D4" w:rsidRPr="005E3848">
        <w:rPr>
          <w:rFonts w:ascii="Open Sans" w:hAnsi="Open Sans" w:cs="Open Sans"/>
        </w:rPr>
        <w:t xml:space="preserve">and determination </w:t>
      </w:r>
      <w:r w:rsidRPr="005E3848">
        <w:rPr>
          <w:rFonts w:ascii="Open Sans" w:hAnsi="Open Sans" w:cs="Open Sans"/>
        </w:rPr>
        <w:t>to improve their English.</w:t>
      </w:r>
    </w:p>
    <w:p w14:paraId="05C2A75F" w14:textId="77777777" w:rsidR="00E00B35" w:rsidRPr="005E3848" w:rsidRDefault="00E00B35" w:rsidP="007035BD">
      <w:pPr>
        <w:pStyle w:val="ListParagraph"/>
        <w:numPr>
          <w:ilvl w:val="0"/>
          <w:numId w:val="16"/>
        </w:numPr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>Tutors make good use of initial assessment information to differentiate resourc</w:t>
      </w:r>
      <w:r w:rsidR="00180785" w:rsidRPr="005E3848">
        <w:rPr>
          <w:rFonts w:ascii="Open Sans" w:hAnsi="Open Sans" w:cs="Open Sans"/>
        </w:rPr>
        <w:t xml:space="preserve">es and approaches to learning. Staff </w:t>
      </w:r>
      <w:r w:rsidR="006218E1" w:rsidRPr="005E3848">
        <w:rPr>
          <w:rFonts w:ascii="Open Sans" w:hAnsi="Open Sans" w:cs="Open Sans"/>
        </w:rPr>
        <w:t xml:space="preserve">resistance is reduced as they </w:t>
      </w:r>
      <w:r w:rsidRPr="005E3848">
        <w:rPr>
          <w:rFonts w:ascii="Open Sans" w:hAnsi="Open Sans" w:cs="Open Sans"/>
        </w:rPr>
        <w:t xml:space="preserve">no longer see the teaching of English as extra work, and </w:t>
      </w:r>
      <w:r w:rsidR="000B120F" w:rsidRPr="005E3848">
        <w:rPr>
          <w:rFonts w:ascii="Open Sans" w:hAnsi="Open Sans" w:cs="Open Sans"/>
        </w:rPr>
        <w:t>are better equipped to recognise a</w:t>
      </w:r>
      <w:r w:rsidR="004B56D4" w:rsidRPr="005E3848">
        <w:rPr>
          <w:rFonts w:ascii="Open Sans" w:hAnsi="Open Sans" w:cs="Open Sans"/>
        </w:rPr>
        <w:t xml:space="preserve">nd address </w:t>
      </w:r>
      <w:r w:rsidR="00180785" w:rsidRPr="005E3848">
        <w:rPr>
          <w:rFonts w:ascii="Open Sans" w:hAnsi="Open Sans" w:cs="Open Sans"/>
        </w:rPr>
        <w:t xml:space="preserve">students’ </w:t>
      </w:r>
      <w:r w:rsidR="00DD0BB5" w:rsidRPr="005E3848">
        <w:rPr>
          <w:rFonts w:ascii="Open Sans" w:hAnsi="Open Sans" w:cs="Open Sans"/>
        </w:rPr>
        <w:t xml:space="preserve">barriers to learning English. </w:t>
      </w:r>
    </w:p>
    <w:p w14:paraId="179B9DC3" w14:textId="77777777" w:rsidR="000B120F" w:rsidRPr="005E3848" w:rsidRDefault="000B120F" w:rsidP="007035BD">
      <w:pPr>
        <w:pStyle w:val="ListParagraph"/>
        <w:numPr>
          <w:ilvl w:val="0"/>
          <w:numId w:val="16"/>
        </w:numPr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 xml:space="preserve">Staff have </w:t>
      </w:r>
      <w:r w:rsidR="00180785" w:rsidRPr="005E3848">
        <w:rPr>
          <w:rFonts w:ascii="Open Sans" w:hAnsi="Open Sans" w:cs="Open Sans"/>
        </w:rPr>
        <w:t>improved their personal</w:t>
      </w:r>
      <w:r w:rsidR="004B56D4" w:rsidRPr="005E3848">
        <w:rPr>
          <w:rFonts w:ascii="Open Sans" w:hAnsi="Open Sans" w:cs="Open Sans"/>
        </w:rPr>
        <w:t xml:space="preserve"> English skills</w:t>
      </w:r>
      <w:r w:rsidR="00180785" w:rsidRPr="005E3848">
        <w:rPr>
          <w:rFonts w:ascii="Open Sans" w:hAnsi="Open Sans" w:cs="Open Sans"/>
        </w:rPr>
        <w:t xml:space="preserve">, and are more confident to </w:t>
      </w:r>
      <w:r w:rsidR="004B56D4" w:rsidRPr="005E3848">
        <w:rPr>
          <w:rFonts w:ascii="Open Sans" w:hAnsi="Open Sans" w:cs="Open Sans"/>
        </w:rPr>
        <w:t>teach English to their learners</w:t>
      </w:r>
      <w:r w:rsidR="00180785" w:rsidRPr="005E3848">
        <w:rPr>
          <w:rFonts w:ascii="Open Sans" w:hAnsi="Open Sans" w:cs="Open Sans"/>
        </w:rPr>
        <w:t xml:space="preserve">.  Through working collegially </w:t>
      </w:r>
      <w:r w:rsidR="005A2897" w:rsidRPr="005E3848">
        <w:rPr>
          <w:rFonts w:ascii="Open Sans" w:hAnsi="Open Sans" w:cs="Open Sans"/>
        </w:rPr>
        <w:t>across special</w:t>
      </w:r>
      <w:r w:rsidR="00180785" w:rsidRPr="005E3848">
        <w:rPr>
          <w:rFonts w:ascii="Open Sans" w:hAnsi="Open Sans" w:cs="Open Sans"/>
        </w:rPr>
        <w:t>isms and partnerships,</w:t>
      </w:r>
      <w:r w:rsidR="001F40A9" w:rsidRPr="005E3848">
        <w:rPr>
          <w:rFonts w:ascii="Open Sans" w:hAnsi="Open Sans" w:cs="Open Sans"/>
        </w:rPr>
        <w:t xml:space="preserve"> </w:t>
      </w:r>
      <w:r w:rsidR="00180785" w:rsidRPr="005E3848">
        <w:rPr>
          <w:rFonts w:ascii="Open Sans" w:hAnsi="Open Sans" w:cs="Open Sans"/>
        </w:rPr>
        <w:t>they</w:t>
      </w:r>
      <w:r w:rsidR="00504F92" w:rsidRPr="005E3848">
        <w:rPr>
          <w:rFonts w:ascii="Open Sans" w:hAnsi="Open Sans" w:cs="Open Sans"/>
        </w:rPr>
        <w:t xml:space="preserve"> have</w:t>
      </w:r>
      <w:r w:rsidR="00180785" w:rsidRPr="005E3848">
        <w:rPr>
          <w:rFonts w:ascii="Open Sans" w:hAnsi="Open Sans" w:cs="Open Sans"/>
        </w:rPr>
        <w:t xml:space="preserve"> developed a greater range of techniques and resources to teach English.</w:t>
      </w:r>
    </w:p>
    <w:p w14:paraId="480008CC" w14:textId="17375084" w:rsidR="005A2897" w:rsidRPr="005E3848" w:rsidRDefault="005A2897" w:rsidP="007035BD">
      <w:pPr>
        <w:pStyle w:val="ListParagraph"/>
        <w:numPr>
          <w:ilvl w:val="0"/>
          <w:numId w:val="16"/>
        </w:numPr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 xml:space="preserve">IAG staff </w:t>
      </w:r>
      <w:r w:rsidR="001F40A9" w:rsidRPr="005E3848">
        <w:rPr>
          <w:rFonts w:ascii="Open Sans" w:hAnsi="Open Sans" w:cs="Open Sans"/>
        </w:rPr>
        <w:t>are now a cohesive team with</w:t>
      </w:r>
      <w:r w:rsidRPr="005E3848">
        <w:rPr>
          <w:rFonts w:ascii="Open Sans" w:hAnsi="Open Sans" w:cs="Open Sans"/>
        </w:rPr>
        <w:t xml:space="preserve"> a good understanding of how the work they do with lear</w:t>
      </w:r>
      <w:r w:rsidR="001F40A9" w:rsidRPr="005E3848">
        <w:rPr>
          <w:rFonts w:ascii="Open Sans" w:hAnsi="Open Sans" w:cs="Open Sans"/>
        </w:rPr>
        <w:t>ners impacts on learner motivation and outcomes</w:t>
      </w:r>
      <w:r w:rsidR="00167C21">
        <w:rPr>
          <w:rFonts w:ascii="Open Sans" w:hAnsi="Open Sans" w:cs="Open Sans"/>
        </w:rPr>
        <w:t>.</w:t>
      </w:r>
    </w:p>
    <w:p w14:paraId="445E5479" w14:textId="77777777" w:rsidR="00E00B35" w:rsidRPr="005E3848" w:rsidRDefault="001F40A9" w:rsidP="007035BD">
      <w:pPr>
        <w:pStyle w:val="ListParagraph"/>
        <w:numPr>
          <w:ilvl w:val="0"/>
          <w:numId w:val="16"/>
        </w:numPr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>Partner</w:t>
      </w:r>
      <w:r w:rsidR="005A2897" w:rsidRPr="005E3848">
        <w:rPr>
          <w:rFonts w:ascii="Open Sans" w:hAnsi="Open Sans" w:cs="Open Sans"/>
        </w:rPr>
        <w:t xml:space="preserve"> </w:t>
      </w:r>
      <w:r w:rsidR="00504F92" w:rsidRPr="005E3848">
        <w:rPr>
          <w:rFonts w:ascii="Open Sans" w:hAnsi="Open Sans" w:cs="Open Sans"/>
        </w:rPr>
        <w:t>relationshi</w:t>
      </w:r>
      <w:r w:rsidRPr="005E3848">
        <w:rPr>
          <w:rFonts w:ascii="Open Sans" w:hAnsi="Open Sans" w:cs="Open Sans"/>
        </w:rPr>
        <w:t>ps are stronger and are mo</w:t>
      </w:r>
      <w:r w:rsidR="00504F92" w:rsidRPr="005E3848">
        <w:rPr>
          <w:rFonts w:ascii="Open Sans" w:hAnsi="Open Sans" w:cs="Open Sans"/>
        </w:rPr>
        <w:t>re power equal, enabling greater sharing of ideas and resources, and differentiation of approach to meet the needs of different learners and cohorts.</w:t>
      </w:r>
    </w:p>
    <w:p w14:paraId="71DB820B" w14:textId="77777777" w:rsidR="00B07BA3" w:rsidRPr="003C71FE" w:rsidRDefault="00B07BA3" w:rsidP="007035BD">
      <w:pPr>
        <w:spacing w:after="120"/>
        <w:ind w:firstLine="360"/>
        <w:rPr>
          <w:rFonts w:ascii="Open Sans" w:hAnsi="Open Sans" w:cs="Open Sans"/>
          <w:b/>
          <w:color w:val="007096"/>
        </w:rPr>
      </w:pPr>
      <w:r w:rsidRPr="003C71FE">
        <w:rPr>
          <w:rFonts w:ascii="Open Sans" w:hAnsi="Open Sans" w:cs="Open Sans"/>
          <w:b/>
          <w:color w:val="007096"/>
        </w:rPr>
        <w:t>Impact</w:t>
      </w:r>
    </w:p>
    <w:p w14:paraId="0D18C2E8" w14:textId="1E002310" w:rsidR="00841024" w:rsidRPr="005E3848" w:rsidRDefault="00B07BA3" w:rsidP="007035BD">
      <w:pPr>
        <w:pStyle w:val="ListParagraph"/>
        <w:numPr>
          <w:ilvl w:val="0"/>
          <w:numId w:val="17"/>
        </w:numPr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 xml:space="preserve">Improved </w:t>
      </w:r>
      <w:r w:rsidR="00841024" w:rsidRPr="005E3848">
        <w:rPr>
          <w:rFonts w:ascii="Open Sans" w:hAnsi="Open Sans" w:cs="Open Sans"/>
        </w:rPr>
        <w:t xml:space="preserve">learner retention, study habits and success as a result of learning </w:t>
      </w:r>
      <w:r w:rsidR="002B76A9">
        <w:rPr>
          <w:rFonts w:ascii="Open Sans" w:hAnsi="Open Sans" w:cs="Open Sans"/>
        </w:rPr>
        <w:t xml:space="preserve">the </w:t>
      </w:r>
      <w:bookmarkStart w:id="0" w:name="_GoBack"/>
      <w:bookmarkEnd w:id="0"/>
      <w:r w:rsidR="00841024" w:rsidRPr="005E3848">
        <w:rPr>
          <w:rFonts w:ascii="Open Sans" w:hAnsi="Open Sans" w:cs="Open Sans"/>
        </w:rPr>
        <w:t>English element early on in the course</w:t>
      </w:r>
      <w:r w:rsidR="00167C21">
        <w:rPr>
          <w:rFonts w:ascii="Open Sans" w:hAnsi="Open Sans" w:cs="Open Sans"/>
        </w:rPr>
        <w:t>.</w:t>
      </w:r>
    </w:p>
    <w:p w14:paraId="09F9E8C5" w14:textId="04B648A2" w:rsidR="00B07BA3" w:rsidRPr="005E3848" w:rsidRDefault="00841024" w:rsidP="007035BD">
      <w:pPr>
        <w:pStyle w:val="ListParagraph"/>
        <w:numPr>
          <w:ilvl w:val="0"/>
          <w:numId w:val="17"/>
        </w:numPr>
        <w:spacing w:after="120"/>
        <w:rPr>
          <w:rFonts w:ascii="Open Sans" w:hAnsi="Open Sans" w:cs="Open Sans"/>
        </w:rPr>
      </w:pPr>
      <w:r w:rsidRPr="005E3848">
        <w:rPr>
          <w:rFonts w:ascii="Open Sans" w:hAnsi="Open Sans" w:cs="Open Sans"/>
        </w:rPr>
        <w:t xml:space="preserve">The quality of learners’ written work improved significantly, reflected in </w:t>
      </w:r>
      <w:r w:rsidR="00183DB1" w:rsidRPr="005E3848">
        <w:rPr>
          <w:rFonts w:ascii="Open Sans" w:hAnsi="Open Sans" w:cs="Open Sans"/>
        </w:rPr>
        <w:t>feed</w:t>
      </w:r>
      <w:r w:rsidR="00167C21">
        <w:rPr>
          <w:rFonts w:ascii="Open Sans" w:hAnsi="Open Sans" w:cs="Open Sans"/>
        </w:rPr>
        <w:t>back from the e</w:t>
      </w:r>
      <w:r w:rsidR="0048489A" w:rsidRPr="005E3848">
        <w:rPr>
          <w:rFonts w:ascii="Open Sans" w:hAnsi="Open Sans" w:cs="Open Sans"/>
        </w:rPr>
        <w:t xml:space="preserve">xternal </w:t>
      </w:r>
      <w:r w:rsidR="00167C21">
        <w:rPr>
          <w:rFonts w:ascii="Open Sans" w:hAnsi="Open Sans" w:cs="Open Sans"/>
        </w:rPr>
        <w:t>v</w:t>
      </w:r>
      <w:r w:rsidR="0048489A" w:rsidRPr="005E3848">
        <w:rPr>
          <w:rFonts w:ascii="Open Sans" w:hAnsi="Open Sans" w:cs="Open Sans"/>
        </w:rPr>
        <w:t>erifier</w:t>
      </w:r>
      <w:r w:rsidR="00B4479E" w:rsidRPr="005E3848">
        <w:rPr>
          <w:rFonts w:ascii="Open Sans" w:hAnsi="Open Sans" w:cs="Open Sans"/>
        </w:rPr>
        <w:t xml:space="preserve">. </w:t>
      </w:r>
    </w:p>
    <w:p w14:paraId="36ED529A" w14:textId="77777777" w:rsidR="00DF101C" w:rsidRDefault="00DF101C" w:rsidP="007035BD">
      <w:pPr>
        <w:pStyle w:val="Heading1"/>
        <w:spacing w:before="0" w:after="120"/>
        <w:rPr>
          <w:rFonts w:ascii="Open Sans" w:hAnsi="Open Sans" w:cs="Open Sans"/>
          <w:color w:val="007096"/>
          <w:sz w:val="22"/>
          <w:szCs w:val="22"/>
        </w:rPr>
      </w:pPr>
    </w:p>
    <w:p w14:paraId="536380AB" w14:textId="77777777" w:rsidR="00126597" w:rsidRPr="004A5A6B" w:rsidRDefault="00126597" w:rsidP="007035BD">
      <w:pPr>
        <w:pStyle w:val="Heading1"/>
        <w:spacing w:before="0" w:after="120"/>
        <w:rPr>
          <w:rFonts w:ascii="Open Sans" w:hAnsi="Open Sans" w:cs="Open Sans"/>
          <w:color w:val="007096"/>
          <w:sz w:val="22"/>
          <w:szCs w:val="22"/>
        </w:rPr>
      </w:pPr>
      <w:r w:rsidRPr="004A5A6B">
        <w:rPr>
          <w:rFonts w:ascii="Open Sans" w:hAnsi="Open Sans" w:cs="Open Sans"/>
          <w:color w:val="007096"/>
          <w:sz w:val="22"/>
          <w:szCs w:val="22"/>
        </w:rPr>
        <w:t>Lessons learned</w:t>
      </w:r>
    </w:p>
    <w:p w14:paraId="2B4BF551" w14:textId="77777777" w:rsidR="00856F12" w:rsidRPr="00D84949" w:rsidRDefault="007539A8" w:rsidP="007035BD">
      <w:pPr>
        <w:spacing w:after="120"/>
        <w:rPr>
          <w:rFonts w:ascii="Open Sans" w:hAnsi="Open Sans" w:cs="Open Sans"/>
        </w:rPr>
      </w:pPr>
      <w:r w:rsidRPr="00D84949">
        <w:rPr>
          <w:rFonts w:ascii="Open Sans" w:hAnsi="Open Sans" w:cs="Open Sans"/>
        </w:rPr>
        <w:t>One key learning point emerging from the project was t</w:t>
      </w:r>
      <w:r w:rsidR="00D80502" w:rsidRPr="00D84949">
        <w:rPr>
          <w:rFonts w:ascii="Open Sans" w:hAnsi="Open Sans" w:cs="Open Sans"/>
        </w:rPr>
        <w:t xml:space="preserve">he importance of </w:t>
      </w:r>
      <w:r w:rsidR="00856F12" w:rsidRPr="00D84949">
        <w:rPr>
          <w:rFonts w:ascii="Open Sans" w:hAnsi="Open Sans" w:cs="Open Sans"/>
        </w:rPr>
        <w:t xml:space="preserve">developing a cohesive approach to </w:t>
      </w:r>
      <w:r w:rsidR="001F40A9" w:rsidRPr="00D84949">
        <w:rPr>
          <w:rFonts w:ascii="Open Sans" w:hAnsi="Open Sans" w:cs="Open Sans"/>
        </w:rPr>
        <w:t xml:space="preserve">IAG </w:t>
      </w:r>
      <w:r w:rsidR="00856F12" w:rsidRPr="00D84949">
        <w:rPr>
          <w:rFonts w:ascii="Open Sans" w:hAnsi="Open Sans" w:cs="Open Sans"/>
        </w:rPr>
        <w:t xml:space="preserve">that is valued and respected by the whole organisation. This means providing appropriate training for IAG staff, </w:t>
      </w:r>
      <w:r w:rsidR="001F40A9" w:rsidRPr="00D84949">
        <w:rPr>
          <w:rFonts w:ascii="Open Sans" w:hAnsi="Open Sans" w:cs="Open Sans"/>
        </w:rPr>
        <w:t xml:space="preserve">supported by </w:t>
      </w:r>
      <w:r w:rsidR="00856F12" w:rsidRPr="00D84949">
        <w:rPr>
          <w:rFonts w:ascii="Open Sans" w:hAnsi="Open Sans" w:cs="Open Sans"/>
        </w:rPr>
        <w:t>observations and feedback to help them to de</w:t>
      </w:r>
      <w:r w:rsidRPr="00D84949">
        <w:rPr>
          <w:rFonts w:ascii="Open Sans" w:hAnsi="Open Sans" w:cs="Open Sans"/>
        </w:rPr>
        <w:t>velop and improve their skills, and involving learner and tutors in the process.</w:t>
      </w:r>
    </w:p>
    <w:p w14:paraId="1C0EEC0F" w14:textId="77777777" w:rsidR="006218E1" w:rsidRPr="00D84949" w:rsidRDefault="001F40A9" w:rsidP="007035BD">
      <w:pPr>
        <w:spacing w:after="120"/>
        <w:rPr>
          <w:rFonts w:ascii="Open Sans" w:hAnsi="Open Sans" w:cs="Open Sans"/>
        </w:rPr>
      </w:pPr>
      <w:r w:rsidRPr="00D84949">
        <w:rPr>
          <w:rFonts w:ascii="Open Sans" w:hAnsi="Open Sans" w:cs="Open Sans"/>
        </w:rPr>
        <w:t xml:space="preserve">Providing staff with </w:t>
      </w:r>
      <w:r w:rsidR="00582E60" w:rsidRPr="00D84949">
        <w:rPr>
          <w:rFonts w:ascii="Open Sans" w:hAnsi="Open Sans" w:cs="Open Sans"/>
        </w:rPr>
        <w:t>time and space to explore and develop their skills and confidence in a safe and</w:t>
      </w:r>
      <w:r w:rsidRPr="00D84949">
        <w:rPr>
          <w:rFonts w:ascii="Open Sans" w:hAnsi="Open Sans" w:cs="Open Sans"/>
        </w:rPr>
        <w:t xml:space="preserve"> supportive environment was a crucial factor in helping to overcome staff resistance.</w:t>
      </w:r>
      <w:r w:rsidR="00582E60" w:rsidRPr="00D84949">
        <w:rPr>
          <w:rFonts w:ascii="Open Sans" w:hAnsi="Open Sans" w:cs="Open Sans"/>
        </w:rPr>
        <w:t xml:space="preserve">  </w:t>
      </w:r>
      <w:r w:rsidR="006218E1" w:rsidRPr="00D84949">
        <w:rPr>
          <w:rFonts w:ascii="Open Sans" w:hAnsi="Open Sans" w:cs="Open Sans"/>
        </w:rPr>
        <w:t xml:space="preserve">It was important for staff to take ownership of their own </w:t>
      </w:r>
      <w:r w:rsidR="00582E60" w:rsidRPr="00D84949">
        <w:rPr>
          <w:rFonts w:ascii="Open Sans" w:hAnsi="Open Sans" w:cs="Open Sans"/>
        </w:rPr>
        <w:t>CPD</w:t>
      </w:r>
      <w:r w:rsidR="006218E1" w:rsidRPr="00D84949">
        <w:rPr>
          <w:rFonts w:ascii="Open Sans" w:hAnsi="Open Sans" w:cs="Open Sans"/>
        </w:rPr>
        <w:t xml:space="preserve"> and break down barriers by working together to share </w:t>
      </w:r>
      <w:r w:rsidR="007539A8" w:rsidRPr="00D84949">
        <w:rPr>
          <w:rFonts w:ascii="Open Sans" w:hAnsi="Open Sans" w:cs="Open Sans"/>
        </w:rPr>
        <w:t>concerns and to develop ideas, strategies and resources.</w:t>
      </w:r>
    </w:p>
    <w:p w14:paraId="0382C7CE" w14:textId="1511BB71" w:rsidR="00842701" w:rsidRPr="00D84949" w:rsidRDefault="00D10EB1" w:rsidP="007035BD">
      <w:pPr>
        <w:spacing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>Peer observation</w:t>
      </w:r>
      <w:r w:rsidR="007539A8" w:rsidRPr="00D84949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is</w:t>
      </w:r>
      <w:r w:rsidR="00606052" w:rsidRPr="00D84949">
        <w:rPr>
          <w:rFonts w:ascii="Open Sans" w:hAnsi="Open Sans" w:cs="Open Sans"/>
        </w:rPr>
        <w:t xml:space="preserve"> a powerful tool that provides</w:t>
      </w:r>
      <w:r w:rsidR="007539A8" w:rsidRPr="00D84949">
        <w:rPr>
          <w:rFonts w:ascii="Open Sans" w:hAnsi="Open Sans" w:cs="Open Sans"/>
        </w:rPr>
        <w:t xml:space="preserve"> tutors with a real insight into the impact of teaching on learning, enabling them to gain a </w:t>
      </w:r>
      <w:r w:rsidR="00842701" w:rsidRPr="00D84949">
        <w:rPr>
          <w:rFonts w:ascii="Open Sans" w:hAnsi="Open Sans" w:cs="Open Sans"/>
        </w:rPr>
        <w:t>better understanding of what helps and hinders the creation of outstanding learning experiences.</w:t>
      </w:r>
      <w:r w:rsidR="007539A8" w:rsidRPr="00D84949">
        <w:rPr>
          <w:rFonts w:ascii="Open Sans" w:hAnsi="Open Sans" w:cs="Open Sans"/>
        </w:rPr>
        <w:t xml:space="preserve">  Because this was led by staff working together, they felt that they had more ownership and control of their learning.  </w:t>
      </w:r>
    </w:p>
    <w:p w14:paraId="4B37E0D5" w14:textId="77777777" w:rsidR="0014335C" w:rsidRPr="00D84949" w:rsidRDefault="007539A8" w:rsidP="007035BD">
      <w:pPr>
        <w:spacing w:after="120"/>
        <w:rPr>
          <w:rFonts w:ascii="Open Sans" w:hAnsi="Open Sans" w:cs="Open Sans"/>
        </w:rPr>
      </w:pPr>
      <w:r w:rsidRPr="00D84949">
        <w:rPr>
          <w:rFonts w:ascii="Open Sans" w:hAnsi="Open Sans" w:cs="Open Sans"/>
        </w:rPr>
        <w:t>It can be particularly challenging to engage delivery partners with low student numbers, as staff and resources are usually scarce.</w:t>
      </w:r>
      <w:r w:rsidR="00582E60" w:rsidRPr="00D84949">
        <w:rPr>
          <w:rFonts w:ascii="Open Sans" w:hAnsi="Open Sans" w:cs="Open Sans"/>
        </w:rPr>
        <w:t xml:space="preserve"> This wa</w:t>
      </w:r>
      <w:r w:rsidR="00125DB3" w:rsidRPr="00D84949">
        <w:rPr>
          <w:rFonts w:ascii="Open Sans" w:hAnsi="Open Sans" w:cs="Open Sans"/>
        </w:rPr>
        <w:t>s ov</w:t>
      </w:r>
      <w:r w:rsidRPr="00D84949">
        <w:rPr>
          <w:rFonts w:ascii="Open Sans" w:hAnsi="Open Sans" w:cs="Open Sans"/>
        </w:rPr>
        <w:t xml:space="preserve">ercome by ensuring </w:t>
      </w:r>
      <w:r w:rsidR="00606052" w:rsidRPr="00D84949">
        <w:rPr>
          <w:rFonts w:ascii="Open Sans" w:hAnsi="Open Sans" w:cs="Open Sans"/>
        </w:rPr>
        <w:t xml:space="preserve">that all contributions are valued, and </w:t>
      </w:r>
      <w:r w:rsidRPr="00D84949">
        <w:rPr>
          <w:rFonts w:ascii="Open Sans" w:hAnsi="Open Sans" w:cs="Open Sans"/>
        </w:rPr>
        <w:t xml:space="preserve">that meetings </w:t>
      </w:r>
      <w:r w:rsidR="00873C24" w:rsidRPr="00D84949">
        <w:rPr>
          <w:rFonts w:ascii="Open Sans" w:hAnsi="Open Sans" w:cs="Open Sans"/>
        </w:rPr>
        <w:t xml:space="preserve">and CPD events </w:t>
      </w:r>
      <w:r w:rsidRPr="00D84949">
        <w:rPr>
          <w:rFonts w:ascii="Open Sans" w:hAnsi="Open Sans" w:cs="Open Sans"/>
        </w:rPr>
        <w:t>were</w:t>
      </w:r>
      <w:r w:rsidR="00606052" w:rsidRPr="00D84949">
        <w:rPr>
          <w:rFonts w:ascii="Open Sans" w:hAnsi="Open Sans" w:cs="Open Sans"/>
        </w:rPr>
        <w:t xml:space="preserve"> truly collaborative and of benefit to all involved.  </w:t>
      </w:r>
    </w:p>
    <w:p w14:paraId="39B931A8" w14:textId="64509AE4" w:rsidR="00C144D0" w:rsidRPr="00D84949" w:rsidRDefault="00C144D0" w:rsidP="007035BD">
      <w:pPr>
        <w:spacing w:after="120"/>
        <w:rPr>
          <w:rFonts w:ascii="Open Sans" w:hAnsi="Open Sans" w:cs="Open Sans"/>
        </w:rPr>
      </w:pPr>
      <w:r w:rsidRPr="00D84949">
        <w:rPr>
          <w:rFonts w:ascii="Open Sans" w:hAnsi="Open Sans" w:cs="Open Sans"/>
        </w:rPr>
        <w:t>Teaching English at the start of a course enabled learners to develop the study and literacy skills needed to access the vocational curriculum</w:t>
      </w:r>
      <w:r w:rsidR="00D10EB1">
        <w:rPr>
          <w:rFonts w:ascii="Open Sans" w:hAnsi="Open Sans" w:cs="Open Sans"/>
        </w:rPr>
        <w:t>.</w:t>
      </w:r>
      <w:r w:rsidRPr="00D84949">
        <w:rPr>
          <w:rFonts w:ascii="Open Sans" w:hAnsi="Open Sans" w:cs="Open Sans"/>
        </w:rPr>
        <w:t xml:space="preserve">  </w:t>
      </w:r>
    </w:p>
    <w:p w14:paraId="4986C1C0" w14:textId="77777777" w:rsidR="00DF101C" w:rsidRDefault="00DF101C" w:rsidP="007035BD">
      <w:pPr>
        <w:pStyle w:val="Heading1"/>
        <w:spacing w:before="0" w:after="120"/>
        <w:rPr>
          <w:rFonts w:ascii="Open Sans" w:hAnsi="Open Sans" w:cs="Open Sans"/>
          <w:color w:val="007096"/>
          <w:sz w:val="22"/>
          <w:szCs w:val="22"/>
        </w:rPr>
      </w:pPr>
    </w:p>
    <w:p w14:paraId="371DC7B2" w14:textId="77777777" w:rsidR="000D4BB0" w:rsidRPr="004A5A6B" w:rsidRDefault="000D4BB0" w:rsidP="007035BD">
      <w:pPr>
        <w:pStyle w:val="Heading1"/>
        <w:spacing w:before="0" w:after="120"/>
        <w:rPr>
          <w:rFonts w:ascii="Open Sans" w:hAnsi="Open Sans" w:cs="Open Sans"/>
          <w:color w:val="007096"/>
          <w:sz w:val="22"/>
          <w:szCs w:val="22"/>
        </w:rPr>
      </w:pPr>
      <w:r w:rsidRPr="004A5A6B">
        <w:rPr>
          <w:rFonts w:ascii="Open Sans" w:hAnsi="Open Sans" w:cs="Open Sans"/>
          <w:color w:val="007096"/>
          <w:sz w:val="22"/>
          <w:szCs w:val="22"/>
        </w:rPr>
        <w:t>Sustainability</w:t>
      </w:r>
      <w:r w:rsidR="00E8773A" w:rsidRPr="004A5A6B">
        <w:rPr>
          <w:rFonts w:ascii="Open Sans" w:hAnsi="Open Sans" w:cs="Open Sans"/>
          <w:color w:val="007096"/>
          <w:sz w:val="22"/>
          <w:szCs w:val="22"/>
        </w:rPr>
        <w:t xml:space="preserve"> and transferability</w:t>
      </w:r>
    </w:p>
    <w:p w14:paraId="0C82B75B" w14:textId="4991AF0A" w:rsidR="00EB13EB" w:rsidRPr="00D84949" w:rsidRDefault="00EB13EB" w:rsidP="007035BD">
      <w:pPr>
        <w:spacing w:after="120"/>
        <w:rPr>
          <w:rFonts w:ascii="Open Sans" w:hAnsi="Open Sans" w:cs="Open Sans"/>
        </w:rPr>
      </w:pPr>
      <w:r w:rsidRPr="00D84949">
        <w:rPr>
          <w:rFonts w:ascii="Open Sans" w:hAnsi="Open Sans" w:cs="Open Sans"/>
        </w:rPr>
        <w:t>To further develop staff skills and confidence in teaching English, all staff h</w:t>
      </w:r>
      <w:r w:rsidR="00D84949">
        <w:rPr>
          <w:rFonts w:ascii="Open Sans" w:hAnsi="Open Sans" w:cs="Open Sans"/>
        </w:rPr>
        <w:t>ave been offered a free online f</w:t>
      </w:r>
      <w:r w:rsidRPr="00D84949">
        <w:rPr>
          <w:rFonts w:ascii="Open Sans" w:hAnsi="Open Sans" w:cs="Open Sans"/>
        </w:rPr>
        <w:t xml:space="preserve">unctional skills course, and in September LLC </w:t>
      </w:r>
      <w:r w:rsidR="00D10EB1">
        <w:rPr>
          <w:rFonts w:ascii="Open Sans" w:hAnsi="Open Sans" w:cs="Open Sans"/>
        </w:rPr>
        <w:t>is</w:t>
      </w:r>
      <w:r w:rsidRPr="00D84949">
        <w:rPr>
          <w:rFonts w:ascii="Open Sans" w:hAnsi="Open Sans" w:cs="Open Sans"/>
        </w:rPr>
        <w:t xml:space="preserve"> planning to offer a level 3 English course</w:t>
      </w:r>
      <w:r w:rsidR="0050212C" w:rsidRPr="00D84949">
        <w:rPr>
          <w:rFonts w:ascii="Open Sans" w:hAnsi="Open Sans" w:cs="Open Sans"/>
        </w:rPr>
        <w:t xml:space="preserve"> for teaching staff </w:t>
      </w:r>
      <w:r w:rsidR="00DD0BB5" w:rsidRPr="00D84949">
        <w:rPr>
          <w:rFonts w:ascii="Open Sans" w:hAnsi="Open Sans" w:cs="Open Sans"/>
        </w:rPr>
        <w:t>(</w:t>
      </w:r>
      <w:r w:rsidR="00084D06" w:rsidRPr="00D84949">
        <w:rPr>
          <w:rFonts w:ascii="Open Sans" w:hAnsi="Open Sans" w:cs="Open Sans"/>
        </w:rPr>
        <w:t xml:space="preserve">Ascentis </w:t>
      </w:r>
      <w:r w:rsidR="00D84949">
        <w:rPr>
          <w:rFonts w:ascii="Open Sans" w:hAnsi="Open Sans" w:cs="Open Sans"/>
        </w:rPr>
        <w:t>level 3 award in English for literacy and l</w:t>
      </w:r>
      <w:r w:rsidR="00DD0BB5" w:rsidRPr="00D84949">
        <w:rPr>
          <w:rFonts w:ascii="Open Sans" w:hAnsi="Open Sans" w:cs="Open Sans"/>
        </w:rPr>
        <w:t>anguage)</w:t>
      </w:r>
      <w:r w:rsidRPr="00D84949">
        <w:rPr>
          <w:rFonts w:ascii="Open Sans" w:hAnsi="Open Sans" w:cs="Open Sans"/>
        </w:rPr>
        <w:t xml:space="preserve"> </w:t>
      </w:r>
      <w:r w:rsidR="00D10EB1">
        <w:rPr>
          <w:rFonts w:ascii="Open Sans" w:hAnsi="Open Sans" w:cs="Open Sans"/>
        </w:rPr>
        <w:t>which</w:t>
      </w:r>
      <w:r w:rsidRPr="00D84949">
        <w:rPr>
          <w:rFonts w:ascii="Open Sans" w:hAnsi="Open Sans" w:cs="Open Sans"/>
        </w:rPr>
        <w:t xml:space="preserve"> has been piloted by Hackney </w:t>
      </w:r>
      <w:r w:rsidR="00D84949">
        <w:rPr>
          <w:rFonts w:ascii="Open Sans" w:hAnsi="Open Sans" w:cs="Open Sans"/>
        </w:rPr>
        <w:t xml:space="preserve">Community College as part of the outstanding teaching, learning and assessment </w:t>
      </w:r>
      <w:r w:rsidRPr="00D84949">
        <w:rPr>
          <w:rFonts w:ascii="Open Sans" w:hAnsi="Open Sans" w:cs="Open Sans"/>
        </w:rPr>
        <w:t>project</w:t>
      </w:r>
      <w:r w:rsidR="00D84949">
        <w:rPr>
          <w:rFonts w:ascii="Open Sans" w:hAnsi="Open Sans" w:cs="Open Sans"/>
        </w:rPr>
        <w:t>.</w:t>
      </w:r>
    </w:p>
    <w:p w14:paraId="0DC0E0AC" w14:textId="7A2F6C2C" w:rsidR="00EB13EB" w:rsidRPr="00D84949" w:rsidRDefault="00EB13EB" w:rsidP="007035BD">
      <w:pPr>
        <w:spacing w:after="120"/>
        <w:rPr>
          <w:rFonts w:ascii="Open Sans" w:hAnsi="Open Sans" w:cs="Open Sans"/>
        </w:rPr>
      </w:pPr>
      <w:r w:rsidRPr="00D84949">
        <w:rPr>
          <w:rFonts w:ascii="Open Sans" w:hAnsi="Open Sans" w:cs="Open Sans"/>
        </w:rPr>
        <w:t xml:space="preserve">LLC will work in collaboration with West Thames College to share the findings from the project, to gain feedback and support for further collaborative development of outstanding </w:t>
      </w:r>
      <w:r w:rsidR="00D84949">
        <w:rPr>
          <w:rFonts w:ascii="Open Sans" w:hAnsi="Open Sans" w:cs="Open Sans"/>
        </w:rPr>
        <w:t>teaching, learning and assessment.</w:t>
      </w:r>
    </w:p>
    <w:p w14:paraId="3B77EC51" w14:textId="0EEEB428" w:rsidR="00C144D0" w:rsidRPr="00D84949" w:rsidRDefault="00125DB3" w:rsidP="007035BD">
      <w:pPr>
        <w:spacing w:after="120"/>
        <w:rPr>
          <w:rFonts w:ascii="Open Sans" w:hAnsi="Open Sans" w:cs="Open Sans"/>
        </w:rPr>
      </w:pPr>
      <w:r w:rsidRPr="00D84949">
        <w:rPr>
          <w:rFonts w:ascii="Open Sans" w:hAnsi="Open Sans" w:cs="Open Sans"/>
        </w:rPr>
        <w:t xml:space="preserve">It is planned to </w:t>
      </w:r>
      <w:r w:rsidR="0050212C" w:rsidRPr="00D84949">
        <w:rPr>
          <w:rFonts w:ascii="Open Sans" w:hAnsi="Open Sans" w:cs="Open Sans"/>
        </w:rPr>
        <w:t>continue to deliver th</w:t>
      </w:r>
      <w:r w:rsidR="00D84949">
        <w:rPr>
          <w:rFonts w:ascii="Open Sans" w:hAnsi="Open Sans" w:cs="Open Sans"/>
        </w:rPr>
        <w:t>e teaching a</w:t>
      </w:r>
      <w:r w:rsidR="00C144D0" w:rsidRPr="00D84949">
        <w:rPr>
          <w:rFonts w:ascii="Open Sans" w:hAnsi="Open Sans" w:cs="Open Sans"/>
        </w:rPr>
        <w:t xml:space="preserve">ssistants course with </w:t>
      </w:r>
      <w:r w:rsidR="0050212C" w:rsidRPr="00D84949">
        <w:rPr>
          <w:rFonts w:ascii="Open Sans" w:hAnsi="Open Sans" w:cs="Open Sans"/>
        </w:rPr>
        <w:t>front loaded English provision</w:t>
      </w:r>
      <w:r w:rsidR="00C144D0" w:rsidRPr="00D84949">
        <w:rPr>
          <w:rFonts w:ascii="Open Sans" w:hAnsi="Open Sans" w:cs="Open Sans"/>
        </w:rPr>
        <w:t xml:space="preserve"> to increase learners’</w:t>
      </w:r>
      <w:r w:rsidR="0014335C" w:rsidRPr="00D84949">
        <w:rPr>
          <w:rFonts w:ascii="Open Sans" w:hAnsi="Open Sans" w:cs="Open Sans"/>
        </w:rPr>
        <w:t xml:space="preserve"> </w:t>
      </w:r>
      <w:r w:rsidR="00C144D0" w:rsidRPr="00D84949">
        <w:rPr>
          <w:rFonts w:ascii="Open Sans" w:hAnsi="Open Sans" w:cs="Open Sans"/>
        </w:rPr>
        <w:t xml:space="preserve">chances of </w:t>
      </w:r>
      <w:r w:rsidR="0014335C" w:rsidRPr="00D84949">
        <w:rPr>
          <w:rFonts w:ascii="Open Sans" w:hAnsi="Open Sans" w:cs="Open Sans"/>
        </w:rPr>
        <w:t>success</w:t>
      </w:r>
      <w:r w:rsidR="00C144D0" w:rsidRPr="00D84949">
        <w:rPr>
          <w:rFonts w:ascii="Open Sans" w:hAnsi="Open Sans" w:cs="Open Sans"/>
        </w:rPr>
        <w:t xml:space="preserve">. This approach is transferable across other programmes and </w:t>
      </w:r>
      <w:r w:rsidR="00C144D0" w:rsidRPr="00D84949">
        <w:rPr>
          <w:rFonts w:ascii="Open Sans" w:hAnsi="Open Sans" w:cs="Open Sans"/>
        </w:rPr>
        <w:lastRenderedPageBreak/>
        <w:t xml:space="preserve">contexts, particularly vocational programmes where learners struggle to achieve because of weak English skills. </w:t>
      </w:r>
    </w:p>
    <w:p w14:paraId="02B1C45C" w14:textId="77777777" w:rsidR="001144FE" w:rsidRPr="00D84949" w:rsidRDefault="00C144D0" w:rsidP="007035BD">
      <w:pPr>
        <w:spacing w:after="120"/>
        <w:rPr>
          <w:rFonts w:ascii="Open Sans" w:hAnsi="Open Sans" w:cs="Open Sans"/>
        </w:rPr>
      </w:pPr>
      <w:r w:rsidRPr="00D84949">
        <w:rPr>
          <w:rFonts w:ascii="Open Sans" w:hAnsi="Open Sans" w:cs="Open Sans"/>
        </w:rPr>
        <w:t>T</w:t>
      </w:r>
      <w:r w:rsidR="0050212C" w:rsidRPr="00D84949">
        <w:rPr>
          <w:rFonts w:ascii="Open Sans" w:hAnsi="Open Sans" w:cs="Open Sans"/>
        </w:rPr>
        <w:t xml:space="preserve">he peer observation process will be continued to support the development </w:t>
      </w:r>
      <w:r w:rsidR="001144FE" w:rsidRPr="00D84949">
        <w:rPr>
          <w:rFonts w:ascii="Open Sans" w:hAnsi="Open Sans" w:cs="Open Sans"/>
        </w:rPr>
        <w:t xml:space="preserve">of staff skills and motivation, and will be extended to include thematic observations to focus on specific aspects of teaching, learning and assessment. </w:t>
      </w:r>
    </w:p>
    <w:p w14:paraId="78C6A43B" w14:textId="77777777" w:rsidR="0050212C" w:rsidRPr="00D84949" w:rsidRDefault="001144FE" w:rsidP="007035BD">
      <w:pPr>
        <w:spacing w:after="120"/>
        <w:rPr>
          <w:rFonts w:ascii="Open Sans" w:hAnsi="Open Sans" w:cs="Open Sans"/>
        </w:rPr>
      </w:pPr>
      <w:r w:rsidRPr="00D84949">
        <w:rPr>
          <w:rFonts w:ascii="Open Sans" w:hAnsi="Open Sans" w:cs="Open Sans"/>
        </w:rPr>
        <w:t xml:space="preserve">Regular observation of IAG sessions, along with feedback from learners will continue to enable the continued improvement and development of highly effective IAG processes.   </w:t>
      </w:r>
    </w:p>
    <w:p w14:paraId="77976F15" w14:textId="77777777" w:rsidR="00C144D0" w:rsidRPr="00D84949" w:rsidRDefault="00C144D0" w:rsidP="007035BD">
      <w:pPr>
        <w:spacing w:after="120"/>
        <w:rPr>
          <w:rFonts w:ascii="Open Sans" w:hAnsi="Open Sans" w:cs="Open Sans"/>
        </w:rPr>
      </w:pPr>
      <w:r w:rsidRPr="00D84949">
        <w:rPr>
          <w:rFonts w:ascii="Open Sans" w:hAnsi="Open Sans" w:cs="Open Sans"/>
        </w:rPr>
        <w:t xml:space="preserve">The regular partnership meetings and shared CPD sessions will continue, and it is planned that partners will take an increasingly active role in planning and delivering these events. </w:t>
      </w:r>
    </w:p>
    <w:p w14:paraId="078D6EF2" w14:textId="77777777" w:rsidR="00B4479E" w:rsidRPr="00D84949" w:rsidRDefault="00B4479E" w:rsidP="007035BD">
      <w:pPr>
        <w:spacing w:after="120"/>
        <w:rPr>
          <w:rFonts w:ascii="Open Sans" w:hAnsi="Open Sans" w:cs="Open Sans"/>
        </w:rPr>
      </w:pPr>
      <w:r w:rsidRPr="00D84949">
        <w:rPr>
          <w:rFonts w:ascii="Open Sans" w:hAnsi="Open Sans" w:cs="Open Sans"/>
        </w:rPr>
        <w:t>The model of IAG will be further adapted for traineeship learners who</w:t>
      </w:r>
      <w:r w:rsidR="0048489A" w:rsidRPr="00D84949">
        <w:rPr>
          <w:rFonts w:ascii="Open Sans" w:hAnsi="Open Sans" w:cs="Open Sans"/>
        </w:rPr>
        <w:t xml:space="preserve">, it is anticipated, will need </w:t>
      </w:r>
      <w:r w:rsidRPr="00D84949">
        <w:rPr>
          <w:rFonts w:ascii="Open Sans" w:hAnsi="Open Sans" w:cs="Open Sans"/>
        </w:rPr>
        <w:t>more detailed and complex IAG.</w:t>
      </w:r>
    </w:p>
    <w:p w14:paraId="57E5E632" w14:textId="3B6B00E6" w:rsidR="00B4479E" w:rsidRPr="00D84949" w:rsidRDefault="00B4479E" w:rsidP="007035BD">
      <w:pPr>
        <w:spacing w:after="120"/>
        <w:rPr>
          <w:rFonts w:ascii="Open Sans" w:hAnsi="Open Sans" w:cs="Open Sans"/>
        </w:rPr>
      </w:pPr>
      <w:r w:rsidRPr="00D84949">
        <w:rPr>
          <w:rFonts w:ascii="Open Sans" w:hAnsi="Open Sans" w:cs="Open Sans"/>
        </w:rPr>
        <w:t>LLC and the delivery partners hope to directly transfer the pri</w:t>
      </w:r>
      <w:r w:rsidR="00D84949">
        <w:rPr>
          <w:rFonts w:ascii="Open Sans" w:hAnsi="Open Sans" w:cs="Open Sans"/>
        </w:rPr>
        <w:t>nciples of the project work to m</w:t>
      </w:r>
      <w:r w:rsidRPr="00D84949">
        <w:rPr>
          <w:rFonts w:ascii="Open Sans" w:hAnsi="Open Sans" w:cs="Open Sans"/>
        </w:rPr>
        <w:t xml:space="preserve">aths teaching, providing the same comprehensive initial assessment and feedback progress along with vocational contextualisation.  </w:t>
      </w:r>
    </w:p>
    <w:p w14:paraId="65E35178" w14:textId="77777777" w:rsidR="004A5A6B" w:rsidRDefault="004A5A6B" w:rsidP="007035BD">
      <w:pPr>
        <w:spacing w:after="120"/>
        <w:ind w:left="360"/>
        <w:rPr>
          <w:rFonts w:ascii="Open Sans" w:hAnsi="Open Sans" w:cs="Open Sans"/>
          <w:highlight w:val="green"/>
        </w:rPr>
      </w:pPr>
    </w:p>
    <w:p w14:paraId="59D4EDF1" w14:textId="3624CC17" w:rsidR="004A5A6B" w:rsidRPr="004A5A6B" w:rsidRDefault="004A5A6B" w:rsidP="007035BD">
      <w:pPr>
        <w:spacing w:after="120"/>
        <w:rPr>
          <w:rFonts w:ascii="Open Sans" w:hAnsi="Open Sans" w:cs="Open Sans"/>
          <w:b/>
          <w:color w:val="007096"/>
        </w:rPr>
      </w:pPr>
      <w:r w:rsidRPr="004A5A6B">
        <w:rPr>
          <w:rFonts w:ascii="Open Sans" w:hAnsi="Open Sans" w:cs="Open Sans"/>
          <w:b/>
          <w:color w:val="007096"/>
        </w:rPr>
        <w:t>Case study written by Jackie Rossa, Peer Advisor</w:t>
      </w:r>
    </w:p>
    <w:sectPr w:rsidR="004A5A6B" w:rsidRPr="004A5A6B" w:rsidSect="00323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DA9FE" w14:textId="77777777" w:rsidR="000F29D2" w:rsidRDefault="000F29D2" w:rsidP="006D3E55">
      <w:pPr>
        <w:spacing w:after="0" w:line="240" w:lineRule="auto"/>
      </w:pPr>
      <w:r>
        <w:separator/>
      </w:r>
    </w:p>
  </w:endnote>
  <w:endnote w:type="continuationSeparator" w:id="0">
    <w:p w14:paraId="2E35F0DE" w14:textId="77777777" w:rsidR="000F29D2" w:rsidRDefault="000F29D2" w:rsidP="006D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hitman BoldLF">
    <w:altName w:val="Whitman Bold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E5101" w14:textId="77777777" w:rsidR="000A32D9" w:rsidRDefault="000A32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948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63EB6" w14:textId="150A97A0" w:rsidR="00487783" w:rsidRDefault="004877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6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0514B6" w14:textId="77777777" w:rsidR="00487783" w:rsidRDefault="0048778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EFAFF" w14:textId="77777777" w:rsidR="000A32D9" w:rsidRDefault="000A32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EEB16" w14:textId="77777777" w:rsidR="000F29D2" w:rsidRDefault="000F29D2" w:rsidP="006D3E55">
      <w:pPr>
        <w:spacing w:after="0" w:line="240" w:lineRule="auto"/>
      </w:pPr>
      <w:r>
        <w:separator/>
      </w:r>
    </w:p>
  </w:footnote>
  <w:footnote w:type="continuationSeparator" w:id="0">
    <w:p w14:paraId="2F2D1391" w14:textId="77777777" w:rsidR="000F29D2" w:rsidRDefault="000F29D2" w:rsidP="006D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13521" w14:textId="77777777" w:rsidR="000A32D9" w:rsidRDefault="000A32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D058" w14:textId="2ED2F07B" w:rsidR="006D3E55" w:rsidRDefault="00347217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19AB1A7A" wp14:editId="54236900">
          <wp:simplePos x="0" y="0"/>
          <wp:positionH relativeFrom="column">
            <wp:posOffset>-172720</wp:posOffset>
          </wp:positionH>
          <wp:positionV relativeFrom="paragraph">
            <wp:posOffset>-124460</wp:posOffset>
          </wp:positionV>
          <wp:extent cx="5901055" cy="352425"/>
          <wp:effectExtent l="0" t="0" r="4445" b="9525"/>
          <wp:wrapSquare wrapText="bothSides"/>
          <wp:docPr id="1" name="Picture 1" descr="W:\AOCLR\AoCLR Projects\Outstanding teaching, learning and assessment (ETF)\Project management\Partners\Logos\All partner logos merg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OCLR\AoCLR Projects\Outstanding teaching, learning and assessment (ETF)\Project management\Partners\Logos\All partner logos merg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0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20E3F" w14:textId="77777777" w:rsidR="000A32D9" w:rsidRDefault="000A32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948"/>
    <w:multiLevelType w:val="hybridMultilevel"/>
    <w:tmpl w:val="85BE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F5280"/>
    <w:multiLevelType w:val="hybridMultilevel"/>
    <w:tmpl w:val="A3F8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4E8B"/>
    <w:multiLevelType w:val="hybridMultilevel"/>
    <w:tmpl w:val="D31E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A231A"/>
    <w:multiLevelType w:val="hybridMultilevel"/>
    <w:tmpl w:val="678E424E"/>
    <w:lvl w:ilvl="0" w:tplc="18524D1A">
      <w:numFmt w:val="bullet"/>
      <w:lvlText w:val="-"/>
      <w:lvlJc w:val="left"/>
      <w:pPr>
        <w:ind w:left="360" w:hanging="360"/>
      </w:pPr>
      <w:rPr>
        <w:rFonts w:ascii="Calibri" w:eastAsiaTheme="minorHAnsi" w:hAnsi="Calibri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7E1A5E"/>
    <w:multiLevelType w:val="hybridMultilevel"/>
    <w:tmpl w:val="943C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4D1F"/>
    <w:multiLevelType w:val="hybridMultilevel"/>
    <w:tmpl w:val="A954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E2A04"/>
    <w:multiLevelType w:val="hybridMultilevel"/>
    <w:tmpl w:val="966E7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4687"/>
    <w:multiLevelType w:val="hybridMultilevel"/>
    <w:tmpl w:val="C644D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F358A"/>
    <w:multiLevelType w:val="hybridMultilevel"/>
    <w:tmpl w:val="D4B6E6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CE0A42"/>
    <w:multiLevelType w:val="hybridMultilevel"/>
    <w:tmpl w:val="743E0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E0162"/>
    <w:multiLevelType w:val="hybridMultilevel"/>
    <w:tmpl w:val="5F90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3086"/>
    <w:multiLevelType w:val="hybridMultilevel"/>
    <w:tmpl w:val="7502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30777"/>
    <w:multiLevelType w:val="hybridMultilevel"/>
    <w:tmpl w:val="FBF0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F0DEC"/>
    <w:multiLevelType w:val="hybridMultilevel"/>
    <w:tmpl w:val="7112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C3833"/>
    <w:multiLevelType w:val="hybridMultilevel"/>
    <w:tmpl w:val="C3CE35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4547D"/>
    <w:multiLevelType w:val="hybridMultilevel"/>
    <w:tmpl w:val="F898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510AF"/>
    <w:multiLevelType w:val="hybridMultilevel"/>
    <w:tmpl w:val="6242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A397A"/>
    <w:multiLevelType w:val="hybridMultilevel"/>
    <w:tmpl w:val="9E06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B4C62"/>
    <w:multiLevelType w:val="hybridMultilevel"/>
    <w:tmpl w:val="FE408810"/>
    <w:lvl w:ilvl="0" w:tplc="D8664902">
      <w:numFmt w:val="bullet"/>
      <w:lvlText w:val="-"/>
      <w:lvlJc w:val="left"/>
      <w:pPr>
        <w:ind w:left="360" w:hanging="360"/>
      </w:pPr>
      <w:rPr>
        <w:rFonts w:ascii="Calibri" w:eastAsiaTheme="minorHAnsi" w:hAnsi="Calibri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17"/>
  </w:num>
  <w:num w:numId="7">
    <w:abstractNumId w:val="5"/>
  </w:num>
  <w:num w:numId="8">
    <w:abstractNumId w:val="8"/>
  </w:num>
  <w:num w:numId="9">
    <w:abstractNumId w:val="14"/>
  </w:num>
  <w:num w:numId="10">
    <w:abstractNumId w:val="3"/>
  </w:num>
  <w:num w:numId="11">
    <w:abstractNumId w:val="13"/>
  </w:num>
  <w:num w:numId="12">
    <w:abstractNumId w:val="12"/>
  </w:num>
  <w:num w:numId="13">
    <w:abstractNumId w:val="18"/>
  </w:num>
  <w:num w:numId="14">
    <w:abstractNumId w:val="11"/>
  </w:num>
  <w:num w:numId="15">
    <w:abstractNumId w:val="9"/>
  </w:num>
  <w:num w:numId="16">
    <w:abstractNumId w:val="16"/>
  </w:num>
  <w:num w:numId="17">
    <w:abstractNumId w:val="7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A1"/>
    <w:rsid w:val="00002174"/>
    <w:rsid w:val="00011328"/>
    <w:rsid w:val="00013337"/>
    <w:rsid w:val="0005657F"/>
    <w:rsid w:val="000567F0"/>
    <w:rsid w:val="00062E01"/>
    <w:rsid w:val="00084D06"/>
    <w:rsid w:val="000A32D9"/>
    <w:rsid w:val="000B120F"/>
    <w:rsid w:val="000B6122"/>
    <w:rsid w:val="000D4BB0"/>
    <w:rsid w:val="000F29D2"/>
    <w:rsid w:val="00104B5C"/>
    <w:rsid w:val="001144FE"/>
    <w:rsid w:val="00125DB3"/>
    <w:rsid w:val="00126597"/>
    <w:rsid w:val="0014335C"/>
    <w:rsid w:val="00147378"/>
    <w:rsid w:val="001546AB"/>
    <w:rsid w:val="00167C21"/>
    <w:rsid w:val="00180785"/>
    <w:rsid w:val="00183DB1"/>
    <w:rsid w:val="001C4D85"/>
    <w:rsid w:val="001D2683"/>
    <w:rsid w:val="001D7E2F"/>
    <w:rsid w:val="001F40A9"/>
    <w:rsid w:val="00237634"/>
    <w:rsid w:val="002A5750"/>
    <w:rsid w:val="002B76A9"/>
    <w:rsid w:val="002C54C1"/>
    <w:rsid w:val="002F65A2"/>
    <w:rsid w:val="00303D82"/>
    <w:rsid w:val="003048B2"/>
    <w:rsid w:val="003239F5"/>
    <w:rsid w:val="003370C3"/>
    <w:rsid w:val="0034579B"/>
    <w:rsid w:val="00347217"/>
    <w:rsid w:val="00347A26"/>
    <w:rsid w:val="00383277"/>
    <w:rsid w:val="003B396C"/>
    <w:rsid w:val="003C1696"/>
    <w:rsid w:val="003C71FE"/>
    <w:rsid w:val="003E381E"/>
    <w:rsid w:val="003F6C6E"/>
    <w:rsid w:val="0040124A"/>
    <w:rsid w:val="00422CD8"/>
    <w:rsid w:val="004363CA"/>
    <w:rsid w:val="004450BB"/>
    <w:rsid w:val="00473D14"/>
    <w:rsid w:val="0048489A"/>
    <w:rsid w:val="00485266"/>
    <w:rsid w:val="00486C80"/>
    <w:rsid w:val="00487783"/>
    <w:rsid w:val="004A5A6B"/>
    <w:rsid w:val="004B56D4"/>
    <w:rsid w:val="0050212C"/>
    <w:rsid w:val="00502E1E"/>
    <w:rsid w:val="00504F92"/>
    <w:rsid w:val="00526171"/>
    <w:rsid w:val="005658E2"/>
    <w:rsid w:val="00582E60"/>
    <w:rsid w:val="005955EA"/>
    <w:rsid w:val="005A2897"/>
    <w:rsid w:val="005A2F6D"/>
    <w:rsid w:val="005D20A1"/>
    <w:rsid w:val="005D25A9"/>
    <w:rsid w:val="005D5A90"/>
    <w:rsid w:val="005E3848"/>
    <w:rsid w:val="005E41B8"/>
    <w:rsid w:val="005F0DCE"/>
    <w:rsid w:val="005F1757"/>
    <w:rsid w:val="00606052"/>
    <w:rsid w:val="006218E1"/>
    <w:rsid w:val="00652C0D"/>
    <w:rsid w:val="00660824"/>
    <w:rsid w:val="00662C8F"/>
    <w:rsid w:val="00664330"/>
    <w:rsid w:val="00692077"/>
    <w:rsid w:val="00693654"/>
    <w:rsid w:val="006C122D"/>
    <w:rsid w:val="006D3E55"/>
    <w:rsid w:val="006E04EB"/>
    <w:rsid w:val="007035BD"/>
    <w:rsid w:val="00706FCB"/>
    <w:rsid w:val="00707899"/>
    <w:rsid w:val="00717220"/>
    <w:rsid w:val="00724CEA"/>
    <w:rsid w:val="00732551"/>
    <w:rsid w:val="007539A8"/>
    <w:rsid w:val="00776B9B"/>
    <w:rsid w:val="00792050"/>
    <w:rsid w:val="0079363C"/>
    <w:rsid w:val="007A33BD"/>
    <w:rsid w:val="007C2438"/>
    <w:rsid w:val="00805E1D"/>
    <w:rsid w:val="008132B4"/>
    <w:rsid w:val="00841024"/>
    <w:rsid w:val="00842701"/>
    <w:rsid w:val="00851C3A"/>
    <w:rsid w:val="00856F12"/>
    <w:rsid w:val="00873C24"/>
    <w:rsid w:val="00875408"/>
    <w:rsid w:val="008E4875"/>
    <w:rsid w:val="00917876"/>
    <w:rsid w:val="009D35D1"/>
    <w:rsid w:val="00A2349B"/>
    <w:rsid w:val="00A25363"/>
    <w:rsid w:val="00A4398D"/>
    <w:rsid w:val="00A673C4"/>
    <w:rsid w:val="00A701E9"/>
    <w:rsid w:val="00A74A43"/>
    <w:rsid w:val="00A933BE"/>
    <w:rsid w:val="00AD15DA"/>
    <w:rsid w:val="00B07BA3"/>
    <w:rsid w:val="00B21CE7"/>
    <w:rsid w:val="00B4479E"/>
    <w:rsid w:val="00B57422"/>
    <w:rsid w:val="00BA0EDD"/>
    <w:rsid w:val="00BA6D80"/>
    <w:rsid w:val="00BB62DE"/>
    <w:rsid w:val="00BD7CC5"/>
    <w:rsid w:val="00BF09CE"/>
    <w:rsid w:val="00BF2A65"/>
    <w:rsid w:val="00C144D0"/>
    <w:rsid w:val="00C177B1"/>
    <w:rsid w:val="00C275A4"/>
    <w:rsid w:val="00C4061F"/>
    <w:rsid w:val="00C70DC8"/>
    <w:rsid w:val="00C95352"/>
    <w:rsid w:val="00C959BA"/>
    <w:rsid w:val="00CB2D11"/>
    <w:rsid w:val="00CB4CBA"/>
    <w:rsid w:val="00CB690D"/>
    <w:rsid w:val="00D00FC1"/>
    <w:rsid w:val="00D10EB1"/>
    <w:rsid w:val="00D17030"/>
    <w:rsid w:val="00D321DA"/>
    <w:rsid w:val="00D35CFB"/>
    <w:rsid w:val="00D80502"/>
    <w:rsid w:val="00D84949"/>
    <w:rsid w:val="00D85FCB"/>
    <w:rsid w:val="00DB5ABC"/>
    <w:rsid w:val="00DC61AF"/>
    <w:rsid w:val="00DD0BB5"/>
    <w:rsid w:val="00DE1561"/>
    <w:rsid w:val="00DF101C"/>
    <w:rsid w:val="00E00B35"/>
    <w:rsid w:val="00E20CF7"/>
    <w:rsid w:val="00E20F6D"/>
    <w:rsid w:val="00E52A37"/>
    <w:rsid w:val="00E5334B"/>
    <w:rsid w:val="00E82FB9"/>
    <w:rsid w:val="00E8773A"/>
    <w:rsid w:val="00EA60B3"/>
    <w:rsid w:val="00EB13EB"/>
    <w:rsid w:val="00EB73FC"/>
    <w:rsid w:val="00EC6653"/>
    <w:rsid w:val="00ED252E"/>
    <w:rsid w:val="00EF7307"/>
    <w:rsid w:val="00EF7798"/>
    <w:rsid w:val="00F03441"/>
    <w:rsid w:val="00F232D8"/>
    <w:rsid w:val="00F5603E"/>
    <w:rsid w:val="00F71844"/>
    <w:rsid w:val="00FB2E13"/>
    <w:rsid w:val="00FB5386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4EE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CB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0A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20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0A1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20A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55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55"/>
    <w:rPr>
      <w:rFonts w:ascii="Century Gothic" w:hAnsi="Century Gothic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4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8B2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8B2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3C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customStyle="1" w:styleId="TableGrid1">
    <w:name w:val="Table Grid1"/>
    <w:basedOn w:val="TableNormal"/>
    <w:next w:val="TableGrid"/>
    <w:uiPriority w:val="39"/>
    <w:rsid w:val="004363C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3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EC6653"/>
    <w:pPr>
      <w:autoSpaceDE w:val="0"/>
      <w:autoSpaceDN w:val="0"/>
      <w:adjustRightInd w:val="0"/>
      <w:spacing w:after="0" w:line="241" w:lineRule="atLeast"/>
    </w:pPr>
    <w:rPr>
      <w:rFonts w:ascii="Whitman BoldLF" w:hAnsi="Whitman BoldL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CB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0A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20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0A1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20A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55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55"/>
    <w:rPr>
      <w:rFonts w:ascii="Century Gothic" w:hAnsi="Century Gothic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4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8B2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8B2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3C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customStyle="1" w:styleId="TableGrid1">
    <w:name w:val="Table Grid1"/>
    <w:basedOn w:val="TableNormal"/>
    <w:next w:val="TableGrid"/>
    <w:uiPriority w:val="39"/>
    <w:rsid w:val="004363C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3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EC6653"/>
    <w:pPr>
      <w:autoSpaceDE w:val="0"/>
      <w:autoSpaceDN w:val="0"/>
      <w:adjustRightInd w:val="0"/>
      <w:spacing w:after="0" w:line="241" w:lineRule="atLeast"/>
    </w:pPr>
    <w:rPr>
      <w:rFonts w:ascii="Whitman BoldLF" w:hAnsi="Whitman BoldL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ADD5-A992-1647-ACCC-5F1DF258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1460</Words>
  <Characters>8323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emily.jones</dc:creator>
  <cp:lastModifiedBy>Linda Simpson</cp:lastModifiedBy>
  <cp:revision>3</cp:revision>
  <cp:lastPrinted>2015-07-21T08:01:00Z</cp:lastPrinted>
  <dcterms:created xsi:type="dcterms:W3CDTF">2016-02-17T12:39:00Z</dcterms:created>
  <dcterms:modified xsi:type="dcterms:W3CDTF">2016-02-17T12:42:00Z</dcterms:modified>
</cp:coreProperties>
</file>