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45BF2" w14:textId="77777777" w:rsidR="00F03441" w:rsidRPr="001C44FB" w:rsidRDefault="001C44FB">
      <w:pPr>
        <w:pStyle w:val="Title"/>
        <w:rPr>
          <w:rFonts w:ascii="Open Sans" w:hAnsi="Open Sans" w:cs="Open Sans"/>
          <w:b/>
          <w:color w:val="007096"/>
          <w:sz w:val="28"/>
          <w:szCs w:val="28"/>
        </w:rPr>
      </w:pPr>
      <w:r w:rsidRPr="001C44FB">
        <w:rPr>
          <w:rFonts w:ascii="Open Sans" w:hAnsi="Open Sans" w:cs="Open Sans"/>
          <w:b/>
          <w:color w:val="007096"/>
          <w:sz w:val="28"/>
          <w:szCs w:val="28"/>
        </w:rPr>
        <w:t>Outstanding teaching, learning and assessment: case study on operational project led by Skills for Growth</w:t>
      </w:r>
    </w:p>
    <w:p w14:paraId="109809D7" w14:textId="77777777" w:rsidR="005D20A1" w:rsidRPr="001C44FB" w:rsidRDefault="00851C3A" w:rsidP="005D20A1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C44FB">
        <w:rPr>
          <w:rFonts w:ascii="Open Sans" w:hAnsi="Open Sans" w:cs="Open Sans"/>
          <w:color w:val="007096"/>
          <w:sz w:val="22"/>
          <w:szCs w:val="22"/>
        </w:rPr>
        <w:t>Introduction</w:t>
      </w:r>
    </w:p>
    <w:p w14:paraId="33BE360E" w14:textId="77777777" w:rsidR="0088198D" w:rsidRPr="001C44FB" w:rsidRDefault="0088198D" w:rsidP="002B41D4">
      <w:pPr>
        <w:tabs>
          <w:tab w:val="left" w:pos="5595"/>
        </w:tabs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Skills for Growth is</w:t>
      </w:r>
      <w:r w:rsidR="00AB684F">
        <w:rPr>
          <w:rFonts w:ascii="Open Sans" w:hAnsi="Open Sans" w:cs="Open Sans"/>
        </w:rPr>
        <w:t xml:space="preserve"> a registered charity and independent learning p</w:t>
      </w:r>
      <w:r w:rsidRPr="001C44FB">
        <w:rPr>
          <w:rFonts w:ascii="Open Sans" w:hAnsi="Open Sans" w:cs="Open Sans"/>
        </w:rPr>
        <w:t>rovider based in South East London. It was formed from the merger of Bexley Training Group and Landmark Train</w:t>
      </w:r>
      <w:r w:rsidR="00AB684F">
        <w:rPr>
          <w:rFonts w:ascii="Open Sans" w:hAnsi="Open Sans" w:cs="Open Sans"/>
        </w:rPr>
        <w:t>ing. The organisation delivers apprenticeships in business &amp; administration, childcare and h</w:t>
      </w:r>
      <w:r w:rsidRPr="001C44FB">
        <w:rPr>
          <w:rFonts w:ascii="Open Sans" w:hAnsi="Open Sans" w:cs="Open Sans"/>
        </w:rPr>
        <w:t>airdress</w:t>
      </w:r>
      <w:r w:rsidR="00AB684F">
        <w:rPr>
          <w:rFonts w:ascii="Open Sans" w:hAnsi="Open Sans" w:cs="Open Sans"/>
        </w:rPr>
        <w:t>ing, along with study p</w:t>
      </w:r>
      <w:r w:rsidR="000152D3" w:rsidRPr="001C44FB">
        <w:rPr>
          <w:rFonts w:ascii="Open Sans" w:hAnsi="Open Sans" w:cs="Open Sans"/>
        </w:rPr>
        <w:t>rogrammes</w:t>
      </w:r>
      <w:r w:rsidR="00AB684F">
        <w:rPr>
          <w:rFonts w:ascii="Open Sans" w:hAnsi="Open Sans" w:cs="Open Sans"/>
        </w:rPr>
        <w:t xml:space="preserve"> and t</w:t>
      </w:r>
      <w:r w:rsidRPr="001C44FB">
        <w:rPr>
          <w:rFonts w:ascii="Open Sans" w:hAnsi="Open Sans" w:cs="Open Sans"/>
        </w:rPr>
        <w:t xml:space="preserve">raineeships. </w:t>
      </w:r>
      <w:r w:rsidR="00967F05" w:rsidRPr="001C44FB">
        <w:rPr>
          <w:rFonts w:ascii="Open Sans" w:hAnsi="Open Sans" w:cs="Open Sans"/>
        </w:rPr>
        <w:t>There are currently</w:t>
      </w:r>
      <w:r w:rsidR="00AB684F">
        <w:rPr>
          <w:rFonts w:ascii="Open Sans" w:hAnsi="Open Sans" w:cs="Open Sans"/>
        </w:rPr>
        <w:t xml:space="preserve"> 400 young people completing a</w:t>
      </w:r>
      <w:r w:rsidR="002B41D4" w:rsidRPr="001C44FB">
        <w:rPr>
          <w:rFonts w:ascii="Open Sans" w:hAnsi="Open Sans" w:cs="Open Sans"/>
        </w:rPr>
        <w:t xml:space="preserve">pprenticeships with Skills for Growth. </w:t>
      </w:r>
      <w:r w:rsidR="00AB684F">
        <w:rPr>
          <w:rFonts w:ascii="Open Sans" w:hAnsi="Open Sans" w:cs="Open Sans"/>
        </w:rPr>
        <w:t xml:space="preserve">The majority are aged 16 to </w:t>
      </w:r>
      <w:r w:rsidRPr="001C44FB">
        <w:rPr>
          <w:rFonts w:ascii="Open Sans" w:hAnsi="Open Sans" w:cs="Open Sans"/>
        </w:rPr>
        <w:t xml:space="preserve">19 and have been placed into employment by Skills for Growth. </w:t>
      </w:r>
      <w:r w:rsidR="002B41D4" w:rsidRPr="001C44FB">
        <w:rPr>
          <w:rFonts w:ascii="Open Sans" w:hAnsi="Open Sans" w:cs="Open Sans"/>
        </w:rPr>
        <w:t xml:space="preserve">85% are female, 29% are from </w:t>
      </w:r>
      <w:r w:rsidR="00AB684F">
        <w:rPr>
          <w:rFonts w:ascii="Open Sans" w:hAnsi="Open Sans" w:cs="Open Sans"/>
        </w:rPr>
        <w:t>a black and minority ethnic</w:t>
      </w:r>
      <w:r w:rsidR="002B41D4" w:rsidRPr="001C44FB">
        <w:rPr>
          <w:rFonts w:ascii="Open Sans" w:hAnsi="Open Sans" w:cs="Open Sans"/>
        </w:rPr>
        <w:t xml:space="preserve"> group</w:t>
      </w:r>
      <w:r w:rsidR="00AB684F">
        <w:rPr>
          <w:rFonts w:ascii="Open Sans" w:hAnsi="Open Sans" w:cs="Open Sans"/>
        </w:rPr>
        <w:t>s</w:t>
      </w:r>
      <w:r w:rsidR="002B41D4" w:rsidRPr="001C44FB">
        <w:rPr>
          <w:rFonts w:ascii="Open Sans" w:hAnsi="Open Sans" w:cs="Open Sans"/>
        </w:rPr>
        <w:t xml:space="preserve"> and 8% have a disability or learning difficulty.  </w:t>
      </w:r>
      <w:r w:rsidRPr="001C44FB">
        <w:rPr>
          <w:rFonts w:ascii="Open Sans" w:hAnsi="Open Sans" w:cs="Open Sans"/>
        </w:rPr>
        <w:t>Apprenticeship</w:t>
      </w:r>
      <w:r w:rsidR="00FE7A17" w:rsidRPr="001C44FB">
        <w:rPr>
          <w:rFonts w:ascii="Open Sans" w:hAnsi="Open Sans" w:cs="Open Sans"/>
        </w:rPr>
        <w:t xml:space="preserve"> delivery </w:t>
      </w:r>
      <w:r w:rsidRPr="001C44FB">
        <w:rPr>
          <w:rFonts w:ascii="Open Sans" w:hAnsi="Open Sans" w:cs="Open Sans"/>
        </w:rPr>
        <w:t>feature</w:t>
      </w:r>
      <w:r w:rsidR="00FE7A17" w:rsidRPr="001C44FB">
        <w:rPr>
          <w:rFonts w:ascii="Open Sans" w:hAnsi="Open Sans" w:cs="Open Sans"/>
        </w:rPr>
        <w:t>s</w:t>
      </w:r>
      <w:r w:rsidRPr="001C44FB">
        <w:rPr>
          <w:rFonts w:ascii="Open Sans" w:hAnsi="Open Sans" w:cs="Open Sans"/>
        </w:rPr>
        <w:t xml:space="preserve"> </w:t>
      </w:r>
      <w:r w:rsidR="000152D3" w:rsidRPr="001C44FB">
        <w:rPr>
          <w:rFonts w:ascii="Open Sans" w:hAnsi="Open Sans" w:cs="Open Sans"/>
        </w:rPr>
        <w:t xml:space="preserve">an </w:t>
      </w:r>
      <w:r w:rsidRPr="001C44FB">
        <w:rPr>
          <w:rFonts w:ascii="Open Sans" w:hAnsi="Open Sans" w:cs="Open Sans"/>
        </w:rPr>
        <w:t xml:space="preserve">off-the-job training day </w:t>
      </w:r>
      <w:r w:rsidR="000152D3" w:rsidRPr="001C44FB">
        <w:rPr>
          <w:rFonts w:ascii="Open Sans" w:hAnsi="Open Sans" w:cs="Open Sans"/>
        </w:rPr>
        <w:t xml:space="preserve">each </w:t>
      </w:r>
      <w:r w:rsidRPr="001C44FB">
        <w:rPr>
          <w:rFonts w:ascii="Open Sans" w:hAnsi="Open Sans" w:cs="Open Sans"/>
        </w:rPr>
        <w:t xml:space="preserve">week covering </w:t>
      </w:r>
      <w:r w:rsidR="00FE7A17" w:rsidRPr="001C44FB">
        <w:rPr>
          <w:rFonts w:ascii="Open Sans" w:hAnsi="Open Sans" w:cs="Open Sans"/>
        </w:rPr>
        <w:t xml:space="preserve">the </w:t>
      </w:r>
      <w:r w:rsidRPr="001C44FB">
        <w:rPr>
          <w:rFonts w:ascii="Open Sans" w:hAnsi="Open Sans" w:cs="Open Sans"/>
        </w:rPr>
        <w:t xml:space="preserve">vocational </w:t>
      </w:r>
      <w:r w:rsidR="00FE7A17" w:rsidRPr="001C44FB">
        <w:rPr>
          <w:rFonts w:ascii="Open Sans" w:hAnsi="Open Sans" w:cs="Open Sans"/>
        </w:rPr>
        <w:t xml:space="preserve">qualification and the </w:t>
      </w:r>
      <w:r w:rsidR="00AB684F">
        <w:rPr>
          <w:rFonts w:ascii="Open Sans" w:hAnsi="Open Sans" w:cs="Open Sans"/>
        </w:rPr>
        <w:t>f</w:t>
      </w:r>
      <w:r w:rsidRPr="001C44FB">
        <w:rPr>
          <w:rFonts w:ascii="Open Sans" w:hAnsi="Open Sans" w:cs="Open Sans"/>
        </w:rPr>
        <w:t xml:space="preserve">unctional </w:t>
      </w:r>
      <w:r w:rsidR="00AB684F">
        <w:rPr>
          <w:rFonts w:ascii="Open Sans" w:hAnsi="Open Sans" w:cs="Open Sans"/>
        </w:rPr>
        <w:t>s</w:t>
      </w:r>
      <w:r w:rsidR="00FE7A17" w:rsidRPr="001C44FB">
        <w:rPr>
          <w:rFonts w:ascii="Open Sans" w:hAnsi="Open Sans" w:cs="Open Sans"/>
        </w:rPr>
        <w:t xml:space="preserve">kills. </w:t>
      </w:r>
      <w:r w:rsidR="000152D3" w:rsidRPr="001C44FB">
        <w:rPr>
          <w:rFonts w:ascii="Open Sans" w:hAnsi="Open Sans" w:cs="Open Sans"/>
        </w:rPr>
        <w:t xml:space="preserve">Ofsted have judged all </w:t>
      </w:r>
      <w:r w:rsidRPr="001C44FB">
        <w:rPr>
          <w:rFonts w:ascii="Open Sans" w:hAnsi="Open Sans" w:cs="Open Sans"/>
        </w:rPr>
        <w:t>aspects of the provision to be ‘Good’</w:t>
      </w:r>
      <w:r w:rsidR="000152D3" w:rsidRPr="001C44FB">
        <w:rPr>
          <w:rFonts w:ascii="Open Sans" w:hAnsi="Open Sans" w:cs="Open Sans"/>
        </w:rPr>
        <w:t xml:space="preserve">. </w:t>
      </w:r>
    </w:p>
    <w:p w14:paraId="232C835D" w14:textId="77777777" w:rsidR="0075244F" w:rsidRDefault="0088198D" w:rsidP="009B0BAE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The over</w:t>
      </w:r>
      <w:r w:rsidR="006E75BC">
        <w:rPr>
          <w:rFonts w:ascii="Open Sans" w:hAnsi="Open Sans" w:cs="Open Sans"/>
        </w:rPr>
        <w:t>all aim of the project wa</w:t>
      </w:r>
      <w:r w:rsidR="007A20C0" w:rsidRPr="001C44FB">
        <w:rPr>
          <w:rFonts w:ascii="Open Sans" w:hAnsi="Open Sans" w:cs="Open Sans"/>
        </w:rPr>
        <w:t xml:space="preserve">s to </w:t>
      </w:r>
      <w:r w:rsidR="009B0BAE" w:rsidRPr="001C44FB">
        <w:rPr>
          <w:rFonts w:ascii="Open Sans" w:hAnsi="Open Sans" w:cs="Open Sans"/>
        </w:rPr>
        <w:t xml:space="preserve">build and implement the </w:t>
      </w:r>
      <w:r w:rsidR="009B0BAE" w:rsidRPr="0075244F">
        <w:rPr>
          <w:rFonts w:ascii="Open Sans" w:hAnsi="Open Sans" w:cs="Open Sans"/>
        </w:rPr>
        <w:t xml:space="preserve">‘Pathway to Excellence’, a </w:t>
      </w:r>
      <w:r w:rsidRPr="0075244F">
        <w:rPr>
          <w:rFonts w:ascii="Open Sans" w:hAnsi="Open Sans" w:cs="Open Sans"/>
        </w:rPr>
        <w:t>high quality performance management framework</w:t>
      </w:r>
      <w:r w:rsidRPr="001C44FB">
        <w:rPr>
          <w:rFonts w:ascii="Open Sans" w:hAnsi="Open Sans" w:cs="Open Sans"/>
        </w:rPr>
        <w:t xml:space="preserve"> </w:t>
      </w:r>
      <w:r w:rsidR="006E75BC">
        <w:rPr>
          <w:rFonts w:ascii="Open Sans" w:hAnsi="Open Sans" w:cs="Open Sans"/>
        </w:rPr>
        <w:t>that would</w:t>
      </w:r>
      <w:r w:rsidR="007A20C0" w:rsidRPr="001C44FB">
        <w:rPr>
          <w:rFonts w:ascii="Open Sans" w:hAnsi="Open Sans" w:cs="Open Sans"/>
        </w:rPr>
        <w:t xml:space="preserve"> </w:t>
      </w:r>
      <w:r w:rsidRPr="001C44FB">
        <w:rPr>
          <w:rFonts w:ascii="Open Sans" w:hAnsi="Open Sans" w:cs="Open Sans"/>
        </w:rPr>
        <w:t xml:space="preserve">drive the quality of teaching, learning and assessment </w:t>
      </w:r>
      <w:r w:rsidR="007A20C0" w:rsidRPr="001C44FB">
        <w:rPr>
          <w:rFonts w:ascii="Open Sans" w:hAnsi="Open Sans" w:cs="Open Sans"/>
        </w:rPr>
        <w:t xml:space="preserve">across all </w:t>
      </w:r>
      <w:r w:rsidR="00AB684F">
        <w:rPr>
          <w:rFonts w:ascii="Open Sans" w:hAnsi="Open Sans" w:cs="Open Sans"/>
        </w:rPr>
        <w:t>a</w:t>
      </w:r>
      <w:r w:rsidRPr="001C44FB">
        <w:rPr>
          <w:rFonts w:ascii="Open Sans" w:hAnsi="Open Sans" w:cs="Open Sans"/>
        </w:rPr>
        <w:t>pprenticeships</w:t>
      </w:r>
      <w:r w:rsidR="009B0BAE" w:rsidRPr="001C44FB">
        <w:rPr>
          <w:rFonts w:ascii="Open Sans" w:hAnsi="Open Sans" w:cs="Open Sans"/>
        </w:rPr>
        <w:t xml:space="preserve"> to </w:t>
      </w:r>
      <w:r w:rsidR="008B681E" w:rsidRPr="001C44FB">
        <w:rPr>
          <w:rFonts w:ascii="Open Sans" w:hAnsi="Open Sans" w:cs="Open Sans"/>
        </w:rPr>
        <w:t>‘</w:t>
      </w:r>
      <w:r w:rsidR="009B0BAE" w:rsidRPr="001C44FB">
        <w:rPr>
          <w:rFonts w:ascii="Open Sans" w:hAnsi="Open Sans" w:cs="Open Sans"/>
        </w:rPr>
        <w:t>outstanding</w:t>
      </w:r>
      <w:r w:rsidR="008B681E" w:rsidRPr="001C44FB">
        <w:rPr>
          <w:rFonts w:ascii="Open Sans" w:hAnsi="Open Sans" w:cs="Open Sans"/>
        </w:rPr>
        <w:t>’</w:t>
      </w:r>
      <w:r w:rsidR="009B0BAE" w:rsidRPr="001C44FB">
        <w:rPr>
          <w:rFonts w:ascii="Open Sans" w:hAnsi="Open Sans" w:cs="Open Sans"/>
        </w:rPr>
        <w:t xml:space="preserve">. </w:t>
      </w:r>
      <w:r w:rsidR="0075244F">
        <w:rPr>
          <w:rFonts w:ascii="Open Sans" w:hAnsi="Open Sans" w:cs="Open Sans"/>
        </w:rPr>
        <w:t xml:space="preserve">(The framework documentation is available on the “Improving Teaching” exhibition site on the Excellence Gateway, in the resources section.) </w:t>
      </w:r>
    </w:p>
    <w:p w14:paraId="7DB85D2D" w14:textId="77777777" w:rsidR="009B0BAE" w:rsidRPr="001C44FB" w:rsidRDefault="009B0BAE" w:rsidP="009B0BAE">
      <w:pPr>
        <w:rPr>
          <w:rFonts w:ascii="Open Sans" w:hAnsi="Open Sans" w:cs="Open Sans"/>
        </w:rPr>
      </w:pPr>
      <w:bookmarkStart w:id="0" w:name="_GoBack"/>
      <w:bookmarkEnd w:id="0"/>
      <w:r w:rsidRPr="001C44FB">
        <w:rPr>
          <w:rFonts w:ascii="Open Sans" w:hAnsi="Open Sans" w:cs="Open Sans"/>
        </w:rPr>
        <w:t>A collaboration aim for the project was to create better coherence internally, as systems and approaches ado</w:t>
      </w:r>
      <w:r w:rsidR="00AB684F">
        <w:rPr>
          <w:rFonts w:ascii="Open Sans" w:hAnsi="Open Sans" w:cs="Open Sans"/>
        </w:rPr>
        <w:t>pted by the former organisation</w:t>
      </w:r>
      <w:r w:rsidRPr="001C44FB">
        <w:rPr>
          <w:rFonts w:ascii="Open Sans" w:hAnsi="Open Sans" w:cs="Open Sans"/>
        </w:rPr>
        <w:t>s</w:t>
      </w:r>
      <w:r w:rsidR="00AB684F">
        <w:rPr>
          <w:rFonts w:ascii="Open Sans" w:hAnsi="Open Sans" w:cs="Open Sans"/>
        </w:rPr>
        <w:t>’</w:t>
      </w:r>
      <w:r w:rsidRPr="001C44FB">
        <w:rPr>
          <w:rFonts w:ascii="Open Sans" w:hAnsi="Open Sans" w:cs="Open Sans"/>
        </w:rPr>
        <w:t xml:space="preserve"> are brought together</w:t>
      </w:r>
      <w:r w:rsidR="008B681E" w:rsidRPr="001C44FB">
        <w:rPr>
          <w:rFonts w:ascii="Open Sans" w:hAnsi="Open Sans" w:cs="Open Sans"/>
        </w:rPr>
        <w:t xml:space="preserve"> and further developed. </w:t>
      </w:r>
    </w:p>
    <w:p w14:paraId="24DB71BF" w14:textId="77777777" w:rsidR="00DA16E2" w:rsidRPr="001C44FB" w:rsidRDefault="007A20C0" w:rsidP="006E75BC">
      <w:pPr>
        <w:spacing w:after="0"/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 xml:space="preserve">Key features of the ‘Pathway to Excellence’ framework </w:t>
      </w:r>
      <w:r w:rsidR="006E75BC">
        <w:rPr>
          <w:rFonts w:ascii="Open Sans" w:hAnsi="Open Sans" w:cs="Open Sans"/>
        </w:rPr>
        <w:t>we</w:t>
      </w:r>
      <w:r w:rsidR="000152D3" w:rsidRPr="001C44FB">
        <w:rPr>
          <w:rFonts w:ascii="Open Sans" w:hAnsi="Open Sans" w:cs="Open Sans"/>
        </w:rPr>
        <w:t>re</w:t>
      </w:r>
      <w:r w:rsidR="00DA16E2" w:rsidRPr="001C44FB">
        <w:rPr>
          <w:rFonts w:ascii="Open Sans" w:hAnsi="Open Sans" w:cs="Open Sans"/>
        </w:rPr>
        <w:t>:</w:t>
      </w:r>
    </w:p>
    <w:p w14:paraId="11A78388" w14:textId="77777777" w:rsidR="009B0BAE" w:rsidRPr="00BD579D" w:rsidRDefault="0088198D" w:rsidP="00BD579D">
      <w:pPr>
        <w:pStyle w:val="ListParagraph"/>
        <w:numPr>
          <w:ilvl w:val="0"/>
          <w:numId w:val="15"/>
        </w:numPr>
        <w:spacing w:after="240"/>
        <w:rPr>
          <w:rFonts w:ascii="Open Sans" w:hAnsi="Open Sans" w:cs="Open Sans"/>
        </w:rPr>
      </w:pPr>
      <w:r w:rsidRPr="00BD579D">
        <w:rPr>
          <w:rFonts w:ascii="Open Sans" w:hAnsi="Open Sans" w:cs="Open Sans"/>
        </w:rPr>
        <w:t>collaborative working</w:t>
      </w:r>
      <w:r w:rsidR="007A20C0" w:rsidRPr="00BD579D">
        <w:rPr>
          <w:rFonts w:ascii="Open Sans" w:hAnsi="Open Sans" w:cs="Open Sans"/>
        </w:rPr>
        <w:t xml:space="preserve"> across the two former organisations to </w:t>
      </w:r>
      <w:r w:rsidR="00DA16E2" w:rsidRPr="00BD579D">
        <w:rPr>
          <w:rFonts w:ascii="Open Sans" w:hAnsi="Open Sans" w:cs="Open Sans"/>
        </w:rPr>
        <w:t>develop and i</w:t>
      </w:r>
      <w:r w:rsidR="007A20C0" w:rsidRPr="00BD579D">
        <w:rPr>
          <w:rFonts w:ascii="Open Sans" w:hAnsi="Open Sans" w:cs="Open Sans"/>
        </w:rPr>
        <w:t>mplement the framework</w:t>
      </w:r>
      <w:r w:rsidR="00BD579D" w:rsidRPr="00BD579D">
        <w:rPr>
          <w:rFonts w:ascii="Open Sans" w:hAnsi="Open Sans" w:cs="Open Sans"/>
        </w:rPr>
        <w:t>;</w:t>
      </w:r>
    </w:p>
    <w:p w14:paraId="626DB565" w14:textId="77777777" w:rsidR="00DA16E2" w:rsidRPr="00BD579D" w:rsidRDefault="00F50688" w:rsidP="00BD579D">
      <w:pPr>
        <w:pStyle w:val="ListParagraph"/>
        <w:numPr>
          <w:ilvl w:val="0"/>
          <w:numId w:val="15"/>
        </w:num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>use of data d</w:t>
      </w:r>
      <w:r w:rsidR="000524A7" w:rsidRPr="00BD579D">
        <w:rPr>
          <w:rFonts w:ascii="Open Sans" w:hAnsi="Open Sans" w:cs="Open Sans"/>
        </w:rPr>
        <w:t xml:space="preserve">ashboards to triangulate judgements about performance and </w:t>
      </w:r>
      <w:r w:rsidR="000152D3" w:rsidRPr="00BD579D">
        <w:rPr>
          <w:rFonts w:ascii="Open Sans" w:hAnsi="Open Sans" w:cs="Open Sans"/>
        </w:rPr>
        <w:t xml:space="preserve">quality and </w:t>
      </w:r>
      <w:r w:rsidR="000524A7" w:rsidRPr="00BD579D">
        <w:rPr>
          <w:rFonts w:ascii="Open Sans" w:hAnsi="Open Sans" w:cs="Open Sans"/>
        </w:rPr>
        <w:t>to identify risk</w:t>
      </w:r>
      <w:r w:rsidR="00BD579D" w:rsidRPr="00BD579D">
        <w:rPr>
          <w:rFonts w:ascii="Open Sans" w:hAnsi="Open Sans" w:cs="Open Sans"/>
        </w:rPr>
        <w:t>;</w:t>
      </w:r>
    </w:p>
    <w:p w14:paraId="25D4DE5A" w14:textId="77777777" w:rsidR="000524A7" w:rsidRPr="00BD579D" w:rsidRDefault="006E75BC" w:rsidP="00BD579D">
      <w:pPr>
        <w:pStyle w:val="ListParagraph"/>
        <w:numPr>
          <w:ilvl w:val="0"/>
          <w:numId w:val="15"/>
        </w:num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>effective cross-</w:t>
      </w:r>
      <w:r w:rsidR="00DA16E2" w:rsidRPr="00BD579D">
        <w:rPr>
          <w:rFonts w:ascii="Open Sans" w:hAnsi="Open Sans" w:cs="Open Sans"/>
        </w:rPr>
        <w:t xml:space="preserve">organisational observation </w:t>
      </w:r>
      <w:r w:rsidR="000524A7" w:rsidRPr="00BD579D">
        <w:rPr>
          <w:rFonts w:ascii="Open Sans" w:hAnsi="Open Sans" w:cs="Open Sans"/>
        </w:rPr>
        <w:t xml:space="preserve">of </w:t>
      </w:r>
      <w:r>
        <w:rPr>
          <w:rFonts w:ascii="Open Sans" w:hAnsi="Open Sans" w:cs="Open Sans"/>
        </w:rPr>
        <w:t>teaching and</w:t>
      </w:r>
      <w:r w:rsidR="000524A7" w:rsidRPr="00BD579D">
        <w:rPr>
          <w:rFonts w:ascii="Open Sans" w:hAnsi="Open Sans" w:cs="Open Sans"/>
        </w:rPr>
        <w:t xml:space="preserve"> learning, assessment and review</w:t>
      </w:r>
      <w:r w:rsidR="00BD579D" w:rsidRPr="00BD579D">
        <w:rPr>
          <w:rFonts w:ascii="Open Sans" w:hAnsi="Open Sans" w:cs="Open Sans"/>
        </w:rPr>
        <w:t>;</w:t>
      </w:r>
    </w:p>
    <w:p w14:paraId="7262E36E" w14:textId="77777777" w:rsidR="000524A7" w:rsidRPr="00BD579D" w:rsidRDefault="000524A7" w:rsidP="00BD579D">
      <w:pPr>
        <w:pStyle w:val="ListParagraph"/>
        <w:numPr>
          <w:ilvl w:val="0"/>
          <w:numId w:val="15"/>
        </w:numPr>
        <w:spacing w:after="240"/>
        <w:rPr>
          <w:rFonts w:ascii="Open Sans" w:hAnsi="Open Sans" w:cs="Open Sans"/>
        </w:rPr>
      </w:pPr>
      <w:r w:rsidRPr="00BD579D">
        <w:rPr>
          <w:rFonts w:ascii="Open Sans" w:hAnsi="Open Sans" w:cs="Open Sans"/>
        </w:rPr>
        <w:t xml:space="preserve">review and implementation of </w:t>
      </w:r>
      <w:r w:rsidR="00FE7A17" w:rsidRPr="00BD579D">
        <w:rPr>
          <w:rFonts w:ascii="Open Sans" w:hAnsi="Open Sans" w:cs="Open Sans"/>
        </w:rPr>
        <w:t>the Professional Standards</w:t>
      </w:r>
      <w:r w:rsidR="00BD579D" w:rsidRPr="00BD579D">
        <w:rPr>
          <w:rFonts w:ascii="Open Sans" w:hAnsi="Open Sans" w:cs="Open Sans"/>
        </w:rPr>
        <w:t>;</w:t>
      </w:r>
    </w:p>
    <w:p w14:paraId="56BBF0C4" w14:textId="77777777" w:rsidR="00D96C35" w:rsidRPr="00BD579D" w:rsidRDefault="00235FE2" w:rsidP="00BD579D">
      <w:pPr>
        <w:pStyle w:val="ListParagraph"/>
        <w:numPr>
          <w:ilvl w:val="0"/>
          <w:numId w:val="15"/>
        </w:num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>effective post-</w:t>
      </w:r>
      <w:r w:rsidR="00DA16E2" w:rsidRPr="00BD579D">
        <w:rPr>
          <w:rFonts w:ascii="Open Sans" w:hAnsi="Open Sans" w:cs="Open Sans"/>
        </w:rPr>
        <w:t>observation improvement planning</w:t>
      </w:r>
      <w:r w:rsidR="00FE7A17" w:rsidRPr="00BD579D">
        <w:rPr>
          <w:rFonts w:ascii="Open Sans" w:hAnsi="Open Sans" w:cs="Open Sans"/>
        </w:rPr>
        <w:t xml:space="preserve">, including </w:t>
      </w:r>
      <w:r w:rsidR="001D6EF4">
        <w:rPr>
          <w:rFonts w:ascii="Open Sans" w:hAnsi="Open Sans" w:cs="Open Sans"/>
        </w:rPr>
        <w:t xml:space="preserve">through </w:t>
      </w:r>
      <w:r w:rsidR="000152D3" w:rsidRPr="00BD579D">
        <w:rPr>
          <w:rFonts w:ascii="Open Sans" w:hAnsi="Open Sans" w:cs="Open Sans"/>
        </w:rPr>
        <w:t xml:space="preserve">peer mentoring and sharing </w:t>
      </w:r>
      <w:r w:rsidR="007A20C0" w:rsidRPr="00BD579D">
        <w:rPr>
          <w:rFonts w:ascii="Open Sans" w:hAnsi="Open Sans" w:cs="Open Sans"/>
        </w:rPr>
        <w:t>best practice</w:t>
      </w:r>
      <w:r w:rsidR="00FE7A17" w:rsidRPr="00BD579D">
        <w:rPr>
          <w:rFonts w:ascii="Open Sans" w:hAnsi="Open Sans" w:cs="Open Sans"/>
        </w:rPr>
        <w:t>.</w:t>
      </w:r>
      <w:r w:rsidR="007A20C0" w:rsidRPr="00BD579D">
        <w:rPr>
          <w:rFonts w:ascii="Open Sans" w:hAnsi="Open Sans" w:cs="Open Sans"/>
        </w:rPr>
        <w:t xml:space="preserve"> </w:t>
      </w:r>
    </w:p>
    <w:p w14:paraId="03106826" w14:textId="77777777" w:rsidR="00DA16E2" w:rsidRPr="001C44FB" w:rsidRDefault="00DA16E2" w:rsidP="00D96C35">
      <w:pPr>
        <w:pStyle w:val="ListParagraph"/>
        <w:spacing w:after="0" w:line="240" w:lineRule="auto"/>
        <w:ind w:left="420"/>
        <w:rPr>
          <w:rFonts w:ascii="Open Sans" w:hAnsi="Open Sans" w:cs="Open Sans"/>
        </w:rPr>
      </w:pPr>
    </w:p>
    <w:p w14:paraId="27781E39" w14:textId="77777777" w:rsidR="0088198D" w:rsidRPr="001C44FB" w:rsidRDefault="007A20C0" w:rsidP="000D4BB0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I</w:t>
      </w:r>
      <w:r w:rsidR="006E75BC">
        <w:rPr>
          <w:rFonts w:ascii="Open Sans" w:hAnsi="Open Sans" w:cs="Open Sans"/>
        </w:rPr>
        <w:t>mplementation of the framework i</w:t>
      </w:r>
      <w:r w:rsidRPr="001C44FB">
        <w:rPr>
          <w:rFonts w:ascii="Open Sans" w:hAnsi="Open Sans" w:cs="Open Sans"/>
        </w:rPr>
        <w:t>s expected to drive 80% of teachin</w:t>
      </w:r>
      <w:r w:rsidR="00BD579D">
        <w:rPr>
          <w:rFonts w:ascii="Open Sans" w:hAnsi="Open Sans" w:cs="Open Sans"/>
        </w:rPr>
        <w:t>g, learning and assessment to ‘o</w:t>
      </w:r>
      <w:r w:rsidRPr="001C44FB">
        <w:rPr>
          <w:rFonts w:ascii="Open Sans" w:hAnsi="Open Sans" w:cs="Open Sans"/>
        </w:rPr>
        <w:t xml:space="preserve">utstanding’ within a year of commencing the project. </w:t>
      </w:r>
    </w:p>
    <w:p w14:paraId="462C2ED3" w14:textId="77777777" w:rsidR="00706FCB" w:rsidRPr="001C44FB" w:rsidRDefault="00E5334B" w:rsidP="00706FCB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C44FB">
        <w:rPr>
          <w:rFonts w:ascii="Open Sans" w:hAnsi="Open Sans" w:cs="Open Sans"/>
          <w:color w:val="007096"/>
          <w:sz w:val="22"/>
          <w:szCs w:val="22"/>
        </w:rPr>
        <w:lastRenderedPageBreak/>
        <w:t>Approach</w:t>
      </w:r>
    </w:p>
    <w:p w14:paraId="280D3563" w14:textId="77777777" w:rsidR="00FE7A17" w:rsidRPr="001C44FB" w:rsidRDefault="00FE7A17" w:rsidP="000D4BB0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The activities completed as part of the project included:</w:t>
      </w:r>
    </w:p>
    <w:p w14:paraId="1DC5DD8D" w14:textId="77777777" w:rsidR="00077E4A" w:rsidRPr="00F50688" w:rsidRDefault="00077E4A" w:rsidP="00F50688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 xml:space="preserve">Team leaders from the different teams working collaboratively to (1) define </w:t>
      </w:r>
      <w:r w:rsidR="00994CE1" w:rsidRPr="00F50688">
        <w:rPr>
          <w:rFonts w:ascii="Open Sans" w:hAnsi="Open Sans" w:cs="Open Sans"/>
        </w:rPr>
        <w:t>key performance indicator</w:t>
      </w:r>
      <w:r w:rsidRPr="00F50688">
        <w:rPr>
          <w:rFonts w:ascii="Open Sans" w:hAnsi="Open Sans" w:cs="Open Sans"/>
        </w:rPr>
        <w:t>s</w:t>
      </w:r>
      <w:r w:rsidR="00994CE1" w:rsidRPr="00F50688">
        <w:rPr>
          <w:rFonts w:ascii="Open Sans" w:hAnsi="Open Sans" w:cs="Open Sans"/>
        </w:rPr>
        <w:t xml:space="preserve"> (KPIs)</w:t>
      </w:r>
      <w:r w:rsidRPr="00F50688">
        <w:rPr>
          <w:rFonts w:ascii="Open Sans" w:hAnsi="Open Sans" w:cs="Open Sans"/>
        </w:rPr>
        <w:t>, standards and changes to expectations, (2) co</w:t>
      </w:r>
      <w:r w:rsidR="00AD55E8" w:rsidRPr="00F50688">
        <w:rPr>
          <w:rFonts w:ascii="Open Sans" w:hAnsi="Open Sans" w:cs="Open Sans"/>
        </w:rPr>
        <w:t xml:space="preserve">mplete observations of staff working in </w:t>
      </w:r>
      <w:r w:rsidRPr="00F50688">
        <w:rPr>
          <w:rFonts w:ascii="Open Sans" w:hAnsi="Open Sans" w:cs="Open Sans"/>
        </w:rPr>
        <w:t>other teams, (3) provide peer mentors for staff in other teams</w:t>
      </w:r>
      <w:r w:rsidR="00163F1E">
        <w:rPr>
          <w:rFonts w:ascii="Open Sans" w:hAnsi="Open Sans" w:cs="Open Sans"/>
        </w:rPr>
        <w:t>,</w:t>
      </w:r>
      <w:r w:rsidRPr="00F50688">
        <w:rPr>
          <w:rFonts w:ascii="Open Sans" w:hAnsi="Open Sans" w:cs="Open Sans"/>
        </w:rPr>
        <w:t xml:space="preserve"> and (4) identify and share good practice and ways of working across teams. </w:t>
      </w:r>
    </w:p>
    <w:p w14:paraId="4AD121BF" w14:textId="77777777" w:rsidR="00FE32C5" w:rsidRPr="00F50688" w:rsidRDefault="00FE32C5" w:rsidP="00F50688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 xml:space="preserve">Agreement of a set of </w:t>
      </w:r>
      <w:r w:rsidR="00F50688" w:rsidRPr="00F50688">
        <w:rPr>
          <w:rFonts w:ascii="Open Sans" w:hAnsi="Open Sans" w:cs="Open Sans"/>
        </w:rPr>
        <w:t>KPIs for staff in a tutor-a</w:t>
      </w:r>
      <w:r w:rsidRPr="00F50688">
        <w:rPr>
          <w:rFonts w:ascii="Open Sans" w:hAnsi="Open Sans" w:cs="Open Sans"/>
        </w:rPr>
        <w:t>ssessor role. Th</w:t>
      </w:r>
      <w:r w:rsidR="00077E4A" w:rsidRPr="00F50688">
        <w:rPr>
          <w:rFonts w:ascii="Open Sans" w:hAnsi="Open Sans" w:cs="Open Sans"/>
        </w:rPr>
        <w:t xml:space="preserve">e KPIs </w:t>
      </w:r>
      <w:r w:rsidRPr="00F50688">
        <w:rPr>
          <w:rFonts w:ascii="Open Sans" w:hAnsi="Open Sans" w:cs="Open Sans"/>
        </w:rPr>
        <w:t>cover performance bands for learner retention, attendance</w:t>
      </w:r>
      <w:r w:rsidR="00AD55E8" w:rsidRPr="00F50688">
        <w:rPr>
          <w:rFonts w:ascii="Open Sans" w:hAnsi="Open Sans" w:cs="Open Sans"/>
        </w:rPr>
        <w:t xml:space="preserve"> and achievement </w:t>
      </w:r>
      <w:r w:rsidRPr="00F50688">
        <w:rPr>
          <w:rFonts w:ascii="Open Sans" w:hAnsi="Open Sans" w:cs="Open Sans"/>
        </w:rPr>
        <w:t>an</w:t>
      </w:r>
      <w:r w:rsidR="00235FE2">
        <w:rPr>
          <w:rFonts w:ascii="Open Sans" w:hAnsi="Open Sans" w:cs="Open Sans"/>
        </w:rPr>
        <w:t xml:space="preserve">d for observations of teaching </w:t>
      </w:r>
      <w:r w:rsidR="00163F1E">
        <w:rPr>
          <w:rFonts w:ascii="Open Sans" w:hAnsi="Open Sans" w:cs="Open Sans"/>
        </w:rPr>
        <w:t>and</w:t>
      </w:r>
      <w:r w:rsidRPr="00F50688">
        <w:rPr>
          <w:rFonts w:ascii="Open Sans" w:hAnsi="Open Sans" w:cs="Open Sans"/>
        </w:rPr>
        <w:t xml:space="preserve"> learning, assessment and review. </w:t>
      </w:r>
    </w:p>
    <w:p w14:paraId="540866B7" w14:textId="77777777" w:rsidR="00FE32C5" w:rsidRPr="00F50688" w:rsidRDefault="00F50688" w:rsidP="00F50688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Development of a data dashboard for each a</w:t>
      </w:r>
      <w:r w:rsidR="00FE7A17" w:rsidRPr="00F50688">
        <w:rPr>
          <w:rFonts w:ascii="Open Sans" w:hAnsi="Open Sans" w:cs="Open Sans"/>
        </w:rPr>
        <w:t>pprenticeship team</w:t>
      </w:r>
      <w:r w:rsidR="00FE32C5" w:rsidRPr="00F50688">
        <w:rPr>
          <w:rFonts w:ascii="Open Sans" w:hAnsi="Open Sans" w:cs="Open Sans"/>
        </w:rPr>
        <w:t xml:space="preserve"> showing actual performance against the KPIs, by individual member of staff and for the</w:t>
      </w:r>
      <w:r w:rsidR="00B14DED" w:rsidRPr="00F50688">
        <w:rPr>
          <w:rFonts w:ascii="Open Sans" w:hAnsi="Open Sans" w:cs="Open Sans"/>
        </w:rPr>
        <w:t xml:space="preserve"> whole</w:t>
      </w:r>
      <w:r w:rsidR="00FE32C5" w:rsidRPr="00F50688">
        <w:rPr>
          <w:rFonts w:ascii="Open Sans" w:hAnsi="Open Sans" w:cs="Open Sans"/>
        </w:rPr>
        <w:t xml:space="preserve"> team. </w:t>
      </w:r>
    </w:p>
    <w:p w14:paraId="61595B83" w14:textId="77777777" w:rsidR="00FE32C5" w:rsidRPr="00F50688" w:rsidRDefault="00FE32C5" w:rsidP="00F50688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Development of a new and simplified observation scheme co</w:t>
      </w:r>
      <w:r w:rsidR="00F50688" w:rsidRPr="00F50688">
        <w:rPr>
          <w:rFonts w:ascii="Open Sans" w:hAnsi="Open Sans" w:cs="Open Sans"/>
        </w:rPr>
        <w:t>vering observation of teaching and</w:t>
      </w:r>
      <w:r w:rsidRPr="00F50688">
        <w:rPr>
          <w:rFonts w:ascii="Open Sans" w:hAnsi="Open Sans" w:cs="Open Sans"/>
        </w:rPr>
        <w:t xml:space="preserve"> l</w:t>
      </w:r>
      <w:r w:rsidR="00B14DED" w:rsidRPr="00F50688">
        <w:rPr>
          <w:rFonts w:ascii="Open Sans" w:hAnsi="Open Sans" w:cs="Open Sans"/>
        </w:rPr>
        <w:t xml:space="preserve">earning, assessment and review </w:t>
      </w:r>
      <w:r w:rsidRPr="00F50688">
        <w:rPr>
          <w:rFonts w:ascii="Open Sans" w:hAnsi="Open Sans" w:cs="Open Sans"/>
        </w:rPr>
        <w:t xml:space="preserve">that focuses on learners, their learning and the progress they have made. Observation records </w:t>
      </w:r>
      <w:r w:rsidR="00AD55E8" w:rsidRPr="00F50688">
        <w:rPr>
          <w:rFonts w:ascii="Open Sans" w:hAnsi="Open Sans" w:cs="Open Sans"/>
        </w:rPr>
        <w:t xml:space="preserve">are </w:t>
      </w:r>
      <w:r w:rsidRPr="00F50688">
        <w:rPr>
          <w:rFonts w:ascii="Open Sans" w:hAnsi="Open Sans" w:cs="Open Sans"/>
        </w:rPr>
        <w:t>also</w:t>
      </w:r>
      <w:r w:rsidR="00AD55E8" w:rsidRPr="00F50688">
        <w:rPr>
          <w:rFonts w:ascii="Open Sans" w:hAnsi="Open Sans" w:cs="Open Sans"/>
        </w:rPr>
        <w:t xml:space="preserve"> used to </w:t>
      </w:r>
      <w:r w:rsidRPr="00F50688">
        <w:rPr>
          <w:rFonts w:ascii="Open Sans" w:hAnsi="Open Sans" w:cs="Open Sans"/>
        </w:rPr>
        <w:t xml:space="preserve">capture the learner and employer voice. </w:t>
      </w:r>
    </w:p>
    <w:p w14:paraId="3C18930C" w14:textId="77777777" w:rsidR="00077E4A" w:rsidRPr="00F50688" w:rsidRDefault="00B14DED" w:rsidP="00F50688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 xml:space="preserve">Benchmarking of the current position </w:t>
      </w:r>
      <w:r w:rsidR="00D96C35" w:rsidRPr="00F50688">
        <w:rPr>
          <w:rFonts w:ascii="Open Sans" w:hAnsi="Open Sans" w:cs="Open Sans"/>
        </w:rPr>
        <w:t xml:space="preserve">against outstanding practice </w:t>
      </w:r>
      <w:r w:rsidRPr="00F50688">
        <w:rPr>
          <w:rFonts w:ascii="Open Sans" w:hAnsi="Open Sans" w:cs="Open Sans"/>
        </w:rPr>
        <w:t>through i</w:t>
      </w:r>
      <w:r w:rsidR="00FE32C5" w:rsidRPr="00F50688">
        <w:rPr>
          <w:rFonts w:ascii="Open Sans" w:hAnsi="Open Sans" w:cs="Open Sans"/>
        </w:rPr>
        <w:t xml:space="preserve">mplementation </w:t>
      </w:r>
      <w:r w:rsidR="00077E4A" w:rsidRPr="00F50688">
        <w:rPr>
          <w:rFonts w:ascii="Open Sans" w:hAnsi="Open Sans" w:cs="Open Sans"/>
        </w:rPr>
        <w:t xml:space="preserve">of the new observation scheme, with observations being carried out across teams. </w:t>
      </w:r>
    </w:p>
    <w:p w14:paraId="15CE00C3" w14:textId="77777777" w:rsidR="00FE32C5" w:rsidRPr="00F50688" w:rsidRDefault="00163F1E" w:rsidP="00F50688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Cross-</w:t>
      </w:r>
      <w:r w:rsidR="005E7EED" w:rsidRPr="00F50688">
        <w:rPr>
          <w:rFonts w:ascii="Open Sans" w:hAnsi="Open Sans" w:cs="Open Sans"/>
        </w:rPr>
        <w:t>team support and sharing of best practice, including i</w:t>
      </w:r>
      <w:r w:rsidR="00F50688" w:rsidRPr="00F50688">
        <w:rPr>
          <w:rFonts w:ascii="Open Sans" w:hAnsi="Open Sans" w:cs="Open Sans"/>
        </w:rPr>
        <w:t>dentification of gold standard p</w:t>
      </w:r>
      <w:r w:rsidR="00077E4A" w:rsidRPr="00F50688">
        <w:rPr>
          <w:rFonts w:ascii="Open Sans" w:hAnsi="Open Sans" w:cs="Open Sans"/>
        </w:rPr>
        <w:t xml:space="preserve">ractitioners to be utilised as part of induction, staff training, </w:t>
      </w:r>
      <w:r w:rsidR="00F50688">
        <w:rPr>
          <w:rFonts w:ascii="Open Sans" w:hAnsi="Open Sans" w:cs="Open Sans"/>
        </w:rPr>
        <w:t>continuing professional development (</w:t>
      </w:r>
      <w:r w:rsidR="00077E4A" w:rsidRPr="00F50688">
        <w:rPr>
          <w:rFonts w:ascii="Open Sans" w:hAnsi="Open Sans" w:cs="Open Sans"/>
        </w:rPr>
        <w:t>CPD</w:t>
      </w:r>
      <w:r w:rsidR="00F50688">
        <w:rPr>
          <w:rFonts w:ascii="Open Sans" w:hAnsi="Open Sans" w:cs="Open Sans"/>
        </w:rPr>
        <w:t>)</w:t>
      </w:r>
      <w:r w:rsidR="00077E4A" w:rsidRPr="00F50688">
        <w:rPr>
          <w:rFonts w:ascii="Open Sans" w:hAnsi="Open Sans" w:cs="Open Sans"/>
        </w:rPr>
        <w:t>, peer observation</w:t>
      </w:r>
      <w:r w:rsidR="00AD55E8" w:rsidRPr="00F50688">
        <w:rPr>
          <w:rFonts w:ascii="Open Sans" w:hAnsi="Open Sans" w:cs="Open Sans"/>
        </w:rPr>
        <w:t>, peer mentoring and p</w:t>
      </w:r>
      <w:r w:rsidR="00077E4A" w:rsidRPr="00F50688">
        <w:rPr>
          <w:rFonts w:ascii="Open Sans" w:hAnsi="Open Sans" w:cs="Open Sans"/>
        </w:rPr>
        <w:t xml:space="preserve">erformance improvement processes. </w:t>
      </w:r>
    </w:p>
    <w:p w14:paraId="1B0004AB" w14:textId="77777777" w:rsidR="008554C1" w:rsidRPr="001C44FB" w:rsidRDefault="00856620" w:rsidP="00856620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The approach also utilised exper</w:t>
      </w:r>
      <w:r w:rsidR="00F50688">
        <w:rPr>
          <w:rFonts w:ascii="Open Sans" w:hAnsi="Open Sans" w:cs="Open Sans"/>
        </w:rPr>
        <w:t>tise from study p</w:t>
      </w:r>
      <w:r w:rsidR="008554C1" w:rsidRPr="001C44FB">
        <w:rPr>
          <w:rFonts w:ascii="Open Sans" w:hAnsi="Open Sans" w:cs="Open Sans"/>
        </w:rPr>
        <w:t>rogramme teams</w:t>
      </w:r>
      <w:r w:rsidRPr="001C44FB">
        <w:rPr>
          <w:rFonts w:ascii="Open Sans" w:hAnsi="Open Sans" w:cs="Open Sans"/>
        </w:rPr>
        <w:t xml:space="preserve"> as</w:t>
      </w:r>
      <w:r w:rsidR="008554C1" w:rsidRPr="001C44FB">
        <w:rPr>
          <w:rFonts w:ascii="Open Sans" w:hAnsi="Open Sans" w:cs="Open Sans"/>
        </w:rPr>
        <w:t>, although originally from a different part of the organisation, they share many common goals and have specialist k</w:t>
      </w:r>
      <w:r w:rsidR="00F50688">
        <w:rPr>
          <w:rFonts w:ascii="Open Sans" w:hAnsi="Open Sans" w:cs="Open Sans"/>
        </w:rPr>
        <w:t>nowledge in areas important to a</w:t>
      </w:r>
      <w:r w:rsidR="008554C1" w:rsidRPr="001C44FB">
        <w:rPr>
          <w:rFonts w:ascii="Open Sans" w:hAnsi="Open Sans" w:cs="Open Sans"/>
        </w:rPr>
        <w:t>pprenticeships e.g. teaching strategies including for learner engagement, differentiation, prom</w:t>
      </w:r>
      <w:r w:rsidR="00AD55E8" w:rsidRPr="001C44FB">
        <w:rPr>
          <w:rFonts w:ascii="Open Sans" w:hAnsi="Open Sans" w:cs="Open Sans"/>
        </w:rPr>
        <w:t xml:space="preserve">otion of equality and diversity and </w:t>
      </w:r>
      <w:r w:rsidR="008554C1" w:rsidRPr="001C44FB">
        <w:rPr>
          <w:rFonts w:ascii="Open Sans" w:hAnsi="Open Sans" w:cs="Open Sans"/>
        </w:rPr>
        <w:t>functional skills</w:t>
      </w:r>
      <w:r w:rsidR="00AD55E8" w:rsidRPr="001C44FB">
        <w:rPr>
          <w:rFonts w:ascii="Open Sans" w:hAnsi="Open Sans" w:cs="Open Sans"/>
        </w:rPr>
        <w:t xml:space="preserve"> delivery</w:t>
      </w:r>
      <w:r w:rsidR="008554C1" w:rsidRPr="001C44FB">
        <w:rPr>
          <w:rFonts w:ascii="Open Sans" w:hAnsi="Open Sans" w:cs="Open Sans"/>
        </w:rPr>
        <w:t xml:space="preserve">. </w:t>
      </w:r>
    </w:p>
    <w:p w14:paraId="6ABFE710" w14:textId="77777777" w:rsidR="00FE32C5" w:rsidRPr="001C44FB" w:rsidRDefault="008554C1" w:rsidP="00EE2D7C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 xml:space="preserve">Five team leaders from across the organisation </w:t>
      </w:r>
      <w:r w:rsidR="00163F1E">
        <w:rPr>
          <w:rFonts w:ascii="Open Sans" w:hAnsi="Open Sans" w:cs="Open Sans"/>
        </w:rPr>
        <w:t>were</w:t>
      </w:r>
      <w:r w:rsidR="006D6341" w:rsidRPr="001C44FB">
        <w:rPr>
          <w:rFonts w:ascii="Open Sans" w:hAnsi="Open Sans" w:cs="Open Sans"/>
        </w:rPr>
        <w:t xml:space="preserve"> involved in the work of the </w:t>
      </w:r>
      <w:r w:rsidRPr="001C44FB">
        <w:rPr>
          <w:rFonts w:ascii="Open Sans" w:hAnsi="Open Sans" w:cs="Open Sans"/>
        </w:rPr>
        <w:t xml:space="preserve">project, </w:t>
      </w:r>
      <w:r w:rsidR="006D6341" w:rsidRPr="001C44FB">
        <w:rPr>
          <w:rFonts w:ascii="Open Sans" w:hAnsi="Open Sans" w:cs="Open Sans"/>
        </w:rPr>
        <w:t xml:space="preserve">along with </w:t>
      </w:r>
      <w:r w:rsidR="00F50688">
        <w:rPr>
          <w:rFonts w:ascii="Open Sans" w:hAnsi="Open Sans" w:cs="Open Sans"/>
        </w:rPr>
        <w:t>the curriculum manager and MIS (management information system) d</w:t>
      </w:r>
      <w:r w:rsidRPr="001C44FB">
        <w:rPr>
          <w:rFonts w:ascii="Open Sans" w:hAnsi="Open Sans" w:cs="Open Sans"/>
        </w:rPr>
        <w:t xml:space="preserve">irector. </w:t>
      </w:r>
      <w:r w:rsidR="00F50688">
        <w:rPr>
          <w:rFonts w:ascii="Open Sans" w:hAnsi="Open Sans" w:cs="Open Sans"/>
        </w:rPr>
        <w:t>Observations of teaching</w:t>
      </w:r>
      <w:r w:rsidR="00823BE5">
        <w:rPr>
          <w:rFonts w:ascii="Open Sans" w:hAnsi="Open Sans" w:cs="Open Sans"/>
        </w:rPr>
        <w:t>, learning and</w:t>
      </w:r>
      <w:r w:rsidR="006D6341" w:rsidRPr="001C44FB">
        <w:rPr>
          <w:rFonts w:ascii="Open Sans" w:hAnsi="Open Sans" w:cs="Open Sans"/>
        </w:rPr>
        <w:t xml:space="preserve"> assessment and re</w:t>
      </w:r>
      <w:r w:rsidR="009B548B" w:rsidRPr="001C44FB">
        <w:rPr>
          <w:rFonts w:ascii="Open Sans" w:hAnsi="Open Sans" w:cs="Open Sans"/>
        </w:rPr>
        <w:t xml:space="preserve">view </w:t>
      </w:r>
      <w:r w:rsidR="007D4930">
        <w:rPr>
          <w:rFonts w:ascii="Open Sans" w:hAnsi="Open Sans" w:cs="Open Sans"/>
        </w:rPr>
        <w:t>have been</w:t>
      </w:r>
      <w:r w:rsidR="009B548B" w:rsidRPr="001C44FB">
        <w:rPr>
          <w:rFonts w:ascii="Open Sans" w:hAnsi="Open Sans" w:cs="Open Sans"/>
        </w:rPr>
        <w:t xml:space="preserve"> completed with 14</w:t>
      </w:r>
      <w:r w:rsidR="006D6341" w:rsidRPr="001C44FB">
        <w:rPr>
          <w:rFonts w:ascii="Open Sans" w:hAnsi="Open Sans" w:cs="Open Sans"/>
        </w:rPr>
        <w:t xml:space="preserve"> members of staff so far, in sessions involving </w:t>
      </w:r>
      <w:r w:rsidR="009D4456" w:rsidRPr="001C44FB">
        <w:rPr>
          <w:rFonts w:ascii="Open Sans" w:hAnsi="Open Sans" w:cs="Open Sans"/>
        </w:rPr>
        <w:t>more than</w:t>
      </w:r>
      <w:r w:rsidR="00EE2D7C" w:rsidRPr="001C44FB">
        <w:rPr>
          <w:rFonts w:ascii="Open Sans" w:hAnsi="Open Sans" w:cs="Open Sans"/>
        </w:rPr>
        <w:t xml:space="preserve"> 120 learners. 18 practitioners have also completed an internal survey in order to benchmark current implementation of the Professional Standards. </w:t>
      </w:r>
    </w:p>
    <w:p w14:paraId="5F1053EF" w14:textId="77777777" w:rsidR="00126597" w:rsidRPr="001C44FB" w:rsidRDefault="00660824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C44FB">
        <w:rPr>
          <w:rFonts w:ascii="Open Sans" w:hAnsi="Open Sans" w:cs="Open Sans"/>
          <w:color w:val="007096"/>
          <w:sz w:val="22"/>
          <w:szCs w:val="22"/>
        </w:rPr>
        <w:lastRenderedPageBreak/>
        <w:t>Outcomes and impact</w:t>
      </w:r>
    </w:p>
    <w:p w14:paraId="1070F316" w14:textId="77777777" w:rsidR="005E7EED" w:rsidRPr="001C44FB" w:rsidRDefault="008448C4" w:rsidP="000D4BB0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 xml:space="preserve">The potential </w:t>
      </w:r>
      <w:r w:rsidR="005E7EED" w:rsidRPr="001C44FB">
        <w:rPr>
          <w:rFonts w:ascii="Open Sans" w:hAnsi="Open Sans" w:cs="Open Sans"/>
        </w:rPr>
        <w:t>impact of the work of the project is expected to be significant in the medium to long term due to the following:</w:t>
      </w:r>
    </w:p>
    <w:p w14:paraId="582A3EC0" w14:textId="77777777" w:rsidR="006F35B4" w:rsidRPr="00F50688" w:rsidRDefault="00F50688" w:rsidP="00F50688">
      <w:pPr>
        <w:pStyle w:val="ListParagraph"/>
        <w:numPr>
          <w:ilvl w:val="0"/>
          <w:numId w:val="17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The data on the data d</w:t>
      </w:r>
      <w:r w:rsidR="005E7EED" w:rsidRPr="00F50688">
        <w:rPr>
          <w:rFonts w:ascii="Open Sans" w:hAnsi="Open Sans" w:cs="Open Sans"/>
        </w:rPr>
        <w:t xml:space="preserve">ashboards show a strong correlation between the quality of teaching, learning and assessment </w:t>
      </w:r>
      <w:r w:rsidRPr="00F50688">
        <w:rPr>
          <w:rFonts w:ascii="Open Sans" w:hAnsi="Open Sans" w:cs="Open Sans"/>
        </w:rPr>
        <w:t>by tutor-a</w:t>
      </w:r>
      <w:r w:rsidR="00025F6E" w:rsidRPr="00F50688">
        <w:rPr>
          <w:rFonts w:ascii="Open Sans" w:hAnsi="Open Sans" w:cs="Open Sans"/>
        </w:rPr>
        <w:t xml:space="preserve">ssessor </w:t>
      </w:r>
      <w:r w:rsidR="005E7EED" w:rsidRPr="00F50688">
        <w:rPr>
          <w:rFonts w:ascii="Open Sans" w:hAnsi="Open Sans" w:cs="Open Sans"/>
        </w:rPr>
        <w:t>and learners’ attendance</w:t>
      </w:r>
      <w:r w:rsidR="00AD55E8" w:rsidRPr="00F50688">
        <w:rPr>
          <w:rFonts w:ascii="Open Sans" w:hAnsi="Open Sans" w:cs="Open Sans"/>
        </w:rPr>
        <w:t>, retention</w:t>
      </w:r>
      <w:r w:rsidR="005E7EED" w:rsidRPr="00F50688">
        <w:rPr>
          <w:rFonts w:ascii="Open Sans" w:hAnsi="Open Sans" w:cs="Open Sans"/>
        </w:rPr>
        <w:t xml:space="preserve"> and achievement</w:t>
      </w:r>
      <w:r w:rsidR="00A45BA1" w:rsidRPr="00F50688">
        <w:rPr>
          <w:rFonts w:ascii="Open Sans" w:hAnsi="Open Sans" w:cs="Open Sans"/>
        </w:rPr>
        <w:t xml:space="preserve"> rates</w:t>
      </w:r>
      <w:r w:rsidR="005E7EED" w:rsidRPr="00F50688">
        <w:rPr>
          <w:rFonts w:ascii="Open Sans" w:hAnsi="Open Sans" w:cs="Open Sans"/>
        </w:rPr>
        <w:t xml:space="preserve">. This data can be used to </w:t>
      </w:r>
      <w:r w:rsidR="008F4835" w:rsidRPr="00F50688">
        <w:rPr>
          <w:rFonts w:ascii="Open Sans" w:hAnsi="Open Sans" w:cs="Open Sans"/>
        </w:rPr>
        <w:t>pinpoint high</w:t>
      </w:r>
      <w:r w:rsidR="006A2AF6" w:rsidRPr="00F50688">
        <w:rPr>
          <w:rFonts w:ascii="Open Sans" w:hAnsi="Open Sans" w:cs="Open Sans"/>
        </w:rPr>
        <w:t xml:space="preserve"> performing staff and their outstanding practice</w:t>
      </w:r>
      <w:r w:rsidR="009B548B" w:rsidRPr="00F50688">
        <w:rPr>
          <w:rFonts w:ascii="Open Sans" w:hAnsi="Open Sans" w:cs="Open Sans"/>
        </w:rPr>
        <w:t>,</w:t>
      </w:r>
      <w:r w:rsidR="006A2AF6" w:rsidRPr="00F50688">
        <w:rPr>
          <w:rFonts w:ascii="Open Sans" w:hAnsi="Open Sans" w:cs="Open Sans"/>
        </w:rPr>
        <w:t xml:space="preserve"> in order that this can be s</w:t>
      </w:r>
      <w:r w:rsidRPr="00F50688">
        <w:rPr>
          <w:rFonts w:ascii="Open Sans" w:hAnsi="Open Sans" w:cs="Open Sans"/>
        </w:rPr>
        <w:t>hared to benefit all staff and a</w:t>
      </w:r>
      <w:r w:rsidR="006A2AF6" w:rsidRPr="00F50688">
        <w:rPr>
          <w:rFonts w:ascii="Open Sans" w:hAnsi="Open Sans" w:cs="Open Sans"/>
        </w:rPr>
        <w:t>pprentices across th</w:t>
      </w:r>
      <w:r w:rsidRPr="00F50688">
        <w:rPr>
          <w:rFonts w:ascii="Open Sans" w:hAnsi="Open Sans" w:cs="Open Sans"/>
        </w:rPr>
        <w:t>e organisation. Similarly, the d</w:t>
      </w:r>
      <w:r w:rsidR="006A2AF6" w:rsidRPr="00F50688">
        <w:rPr>
          <w:rFonts w:ascii="Open Sans" w:hAnsi="Open Sans" w:cs="Open Sans"/>
        </w:rPr>
        <w:t>ashboards will help to identify</w:t>
      </w:r>
      <w:r w:rsidR="005E7EED" w:rsidRPr="00F50688">
        <w:rPr>
          <w:rFonts w:ascii="Open Sans" w:hAnsi="Open Sans" w:cs="Open Sans"/>
        </w:rPr>
        <w:t xml:space="preserve"> practice that requires improvement</w:t>
      </w:r>
      <w:r w:rsidR="009B548B" w:rsidRPr="00F50688">
        <w:rPr>
          <w:rFonts w:ascii="Open Sans" w:hAnsi="Open Sans" w:cs="Open Sans"/>
        </w:rPr>
        <w:t>,</w:t>
      </w:r>
      <w:r w:rsidR="005E7EED" w:rsidRPr="00F50688">
        <w:rPr>
          <w:rFonts w:ascii="Open Sans" w:hAnsi="Open Sans" w:cs="Open Sans"/>
        </w:rPr>
        <w:t xml:space="preserve"> in order that support can be targeted proportionately where it is needed. </w:t>
      </w:r>
    </w:p>
    <w:p w14:paraId="67B62896" w14:textId="77777777" w:rsidR="00640F8C" w:rsidRPr="00F50688" w:rsidRDefault="00BA43C5" w:rsidP="00F50688">
      <w:pPr>
        <w:pStyle w:val="ListParagraph"/>
        <w:numPr>
          <w:ilvl w:val="0"/>
          <w:numId w:val="17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The effective involvement of staff from other teams in the evaluation of teaching, learning and assessment, the sharing of resources and best practice</w:t>
      </w:r>
      <w:r w:rsidR="00F36981">
        <w:rPr>
          <w:rFonts w:ascii="Open Sans" w:hAnsi="Open Sans" w:cs="Open Sans"/>
        </w:rPr>
        <w:t>,</w:t>
      </w:r>
      <w:r w:rsidRPr="00F50688">
        <w:rPr>
          <w:rFonts w:ascii="Open Sans" w:hAnsi="Open Sans" w:cs="Open Sans"/>
        </w:rPr>
        <w:t xml:space="preserve"> and the provision of support. </w:t>
      </w:r>
    </w:p>
    <w:p w14:paraId="523FDE5A" w14:textId="77777777" w:rsidR="002B5DEF" w:rsidRPr="00F50688" w:rsidRDefault="00640F8C" w:rsidP="00F50688">
      <w:pPr>
        <w:pStyle w:val="ListParagraph"/>
        <w:numPr>
          <w:ilvl w:val="0"/>
          <w:numId w:val="17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A culture shift around how CPD is managed</w:t>
      </w:r>
      <w:r w:rsidR="00025F6E" w:rsidRPr="00F50688">
        <w:rPr>
          <w:rFonts w:ascii="Open Sans" w:hAnsi="Open Sans" w:cs="Open Sans"/>
        </w:rPr>
        <w:t>, what it should cover</w:t>
      </w:r>
      <w:r w:rsidRPr="00F50688">
        <w:rPr>
          <w:rFonts w:ascii="Open Sans" w:hAnsi="Open Sans" w:cs="Open Sans"/>
        </w:rPr>
        <w:t xml:space="preserve"> a</w:t>
      </w:r>
      <w:r w:rsidR="006613F1">
        <w:rPr>
          <w:rFonts w:ascii="Open Sans" w:hAnsi="Open Sans" w:cs="Open Sans"/>
        </w:rPr>
        <w:t>nd who is responsible for this wa</w:t>
      </w:r>
      <w:r w:rsidRPr="00F50688">
        <w:rPr>
          <w:rFonts w:ascii="Open Sans" w:hAnsi="Open Sans" w:cs="Open Sans"/>
        </w:rPr>
        <w:t xml:space="preserve">s starting to take place as a result of the staff survey to review implementation of the Professional Standards. </w:t>
      </w:r>
      <w:r w:rsidR="006A2FA9" w:rsidRPr="00F50688">
        <w:rPr>
          <w:rFonts w:ascii="Open Sans" w:hAnsi="Open Sans" w:cs="Open Sans"/>
        </w:rPr>
        <w:t xml:space="preserve">Previously there was an over-reliance on staff becoming qualified and </w:t>
      </w:r>
      <w:r w:rsidRPr="00F50688">
        <w:rPr>
          <w:rFonts w:ascii="Open Sans" w:hAnsi="Open Sans" w:cs="Open Sans"/>
        </w:rPr>
        <w:t xml:space="preserve">then </w:t>
      </w:r>
      <w:r w:rsidR="00025F6E" w:rsidRPr="00F50688">
        <w:rPr>
          <w:rFonts w:ascii="Open Sans" w:hAnsi="Open Sans" w:cs="Open Sans"/>
        </w:rPr>
        <w:t xml:space="preserve">awaiting evaluations of practice and the provision </w:t>
      </w:r>
      <w:r w:rsidR="009B548B" w:rsidRPr="00F50688">
        <w:rPr>
          <w:rFonts w:ascii="Open Sans" w:hAnsi="Open Sans" w:cs="Open Sans"/>
        </w:rPr>
        <w:t xml:space="preserve">of </w:t>
      </w:r>
      <w:r w:rsidR="00025F6E" w:rsidRPr="00F50688">
        <w:rPr>
          <w:rFonts w:ascii="Open Sans" w:hAnsi="Open Sans" w:cs="Open Sans"/>
        </w:rPr>
        <w:t xml:space="preserve">CPD organised by the employer. This resulted </w:t>
      </w:r>
      <w:r w:rsidR="00F36981">
        <w:rPr>
          <w:rFonts w:ascii="Open Sans" w:hAnsi="Open Sans" w:cs="Open Sans"/>
        </w:rPr>
        <w:t>in much staff CPD activity focu</w:t>
      </w:r>
      <w:r w:rsidR="00025F6E" w:rsidRPr="00F50688">
        <w:rPr>
          <w:rFonts w:ascii="Open Sans" w:hAnsi="Open Sans" w:cs="Open Sans"/>
        </w:rPr>
        <w:t xml:space="preserve">sing on </w:t>
      </w:r>
      <w:r w:rsidR="006F35B4" w:rsidRPr="00F50688">
        <w:rPr>
          <w:rFonts w:ascii="Open Sans" w:hAnsi="Open Sans" w:cs="Open Sans"/>
        </w:rPr>
        <w:t xml:space="preserve">generic training for all staff. </w:t>
      </w:r>
      <w:r w:rsidRPr="00F50688">
        <w:rPr>
          <w:rFonts w:ascii="Open Sans" w:hAnsi="Open Sans" w:cs="Open Sans"/>
        </w:rPr>
        <w:t xml:space="preserve">Analysis of the survey results highlighted the need </w:t>
      </w:r>
      <w:r w:rsidR="00F50688" w:rsidRPr="00F50688">
        <w:rPr>
          <w:rFonts w:ascii="Open Sans" w:hAnsi="Open Sans" w:cs="Open Sans"/>
        </w:rPr>
        <w:t>for more self-evaluation by tutor-a</w:t>
      </w:r>
      <w:r w:rsidR="00025F6E" w:rsidRPr="00F50688">
        <w:rPr>
          <w:rFonts w:ascii="Open Sans" w:hAnsi="Open Sans" w:cs="Open Sans"/>
        </w:rPr>
        <w:t xml:space="preserve">ssessors, </w:t>
      </w:r>
      <w:r w:rsidRPr="00F50688">
        <w:rPr>
          <w:rFonts w:ascii="Open Sans" w:hAnsi="Open Sans" w:cs="Open Sans"/>
        </w:rPr>
        <w:t xml:space="preserve">more engagement with employers for CPD, better use of mechanisms for staff to work together to share best practice internally and more emphasis on CPD </w:t>
      </w:r>
      <w:r w:rsidR="00025F6E" w:rsidRPr="00F50688">
        <w:rPr>
          <w:rFonts w:ascii="Open Sans" w:hAnsi="Open Sans" w:cs="Open Sans"/>
        </w:rPr>
        <w:t xml:space="preserve">relating to </w:t>
      </w:r>
      <w:r w:rsidRPr="00F50688">
        <w:rPr>
          <w:rFonts w:ascii="Open Sans" w:hAnsi="Open Sans" w:cs="Open Sans"/>
        </w:rPr>
        <w:t>pedagogy</w:t>
      </w:r>
      <w:r w:rsidR="00025F6E" w:rsidRPr="00F50688">
        <w:rPr>
          <w:rFonts w:ascii="Open Sans" w:hAnsi="Open Sans" w:cs="Open Sans"/>
        </w:rPr>
        <w:t xml:space="preserve"> </w:t>
      </w:r>
      <w:r w:rsidR="00823BE5">
        <w:rPr>
          <w:rFonts w:ascii="Open Sans" w:hAnsi="Open Sans" w:cs="Open Sans"/>
        </w:rPr>
        <w:t>and the ongoing development of tutor-a</w:t>
      </w:r>
      <w:r w:rsidR="00025F6E" w:rsidRPr="00F50688">
        <w:rPr>
          <w:rFonts w:ascii="Open Sans" w:hAnsi="Open Sans" w:cs="Open Sans"/>
        </w:rPr>
        <w:t xml:space="preserve">ssessors’ own </w:t>
      </w:r>
      <w:r w:rsidRPr="00F50688">
        <w:rPr>
          <w:rFonts w:ascii="Open Sans" w:hAnsi="Open Sans" w:cs="Open Sans"/>
        </w:rPr>
        <w:t xml:space="preserve">vocational skills and knowledge. </w:t>
      </w:r>
      <w:r w:rsidR="000316AB" w:rsidRPr="00F50688">
        <w:rPr>
          <w:rFonts w:ascii="Open Sans" w:hAnsi="Open Sans" w:cs="Open Sans"/>
        </w:rPr>
        <w:t xml:space="preserve">CPD should therefore shift from being generic and reactive, to being proactively driven by the individual to meet his or her own identified needs. </w:t>
      </w:r>
      <w:r w:rsidR="00CB52C1" w:rsidRPr="00F50688">
        <w:rPr>
          <w:rFonts w:ascii="Open Sans" w:hAnsi="Open Sans" w:cs="Open Sans"/>
        </w:rPr>
        <w:t>In time the focus can then shift from individual to organisa</w:t>
      </w:r>
      <w:r w:rsidR="009B548B" w:rsidRPr="00F50688">
        <w:rPr>
          <w:rFonts w:ascii="Open Sans" w:hAnsi="Open Sans" w:cs="Open Sans"/>
        </w:rPr>
        <w:t>tional needs as performance imp</w:t>
      </w:r>
      <w:r w:rsidR="00CB52C1" w:rsidRPr="00F50688">
        <w:rPr>
          <w:rFonts w:ascii="Open Sans" w:hAnsi="Open Sans" w:cs="Open Sans"/>
        </w:rPr>
        <w:t>r</w:t>
      </w:r>
      <w:r w:rsidR="009B548B" w:rsidRPr="00F50688">
        <w:rPr>
          <w:rFonts w:ascii="Open Sans" w:hAnsi="Open Sans" w:cs="Open Sans"/>
        </w:rPr>
        <w:t>o</w:t>
      </w:r>
      <w:r w:rsidR="00CB52C1" w:rsidRPr="00F50688">
        <w:rPr>
          <w:rFonts w:ascii="Open Sans" w:hAnsi="Open Sans" w:cs="Open Sans"/>
        </w:rPr>
        <w:t xml:space="preserve">ves. </w:t>
      </w:r>
    </w:p>
    <w:p w14:paraId="7742170E" w14:textId="77777777" w:rsidR="00B674CA" w:rsidRPr="001C44FB" w:rsidRDefault="002B5DEF" w:rsidP="002B5DEF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The impact of the above activities is bein</w:t>
      </w:r>
      <w:r w:rsidR="000C6C6C" w:rsidRPr="001C44FB">
        <w:rPr>
          <w:rFonts w:ascii="Open Sans" w:hAnsi="Open Sans" w:cs="Open Sans"/>
        </w:rPr>
        <w:t xml:space="preserve">g monitored through </w:t>
      </w:r>
      <w:r w:rsidR="00823BE5">
        <w:rPr>
          <w:rFonts w:ascii="Open Sans" w:hAnsi="Open Sans" w:cs="Open Sans"/>
        </w:rPr>
        <w:t>the data d</w:t>
      </w:r>
      <w:r w:rsidR="00854870" w:rsidRPr="001C44FB">
        <w:rPr>
          <w:rFonts w:ascii="Open Sans" w:hAnsi="Open Sans" w:cs="Open Sans"/>
        </w:rPr>
        <w:t>ashboards</w:t>
      </w:r>
      <w:r w:rsidRPr="001C44FB">
        <w:rPr>
          <w:rFonts w:ascii="Open Sans" w:hAnsi="Open Sans" w:cs="Open Sans"/>
        </w:rPr>
        <w:t xml:space="preserve">. Progress is </w:t>
      </w:r>
      <w:r w:rsidR="009B548B" w:rsidRPr="001C44FB">
        <w:rPr>
          <w:rFonts w:ascii="Open Sans" w:hAnsi="Open Sans" w:cs="Open Sans"/>
        </w:rPr>
        <w:t xml:space="preserve">also </w:t>
      </w:r>
      <w:r w:rsidRPr="001C44FB">
        <w:rPr>
          <w:rFonts w:ascii="Open Sans" w:hAnsi="Open Sans" w:cs="Open Sans"/>
        </w:rPr>
        <w:t xml:space="preserve">being monitored against </w:t>
      </w:r>
      <w:r w:rsidR="00823BE5">
        <w:rPr>
          <w:rFonts w:ascii="Open Sans" w:hAnsi="Open Sans" w:cs="Open Sans"/>
        </w:rPr>
        <w:t>the target for 80% of teaching and</w:t>
      </w:r>
      <w:r w:rsidRPr="001C44FB">
        <w:rPr>
          <w:rFonts w:ascii="Open Sans" w:hAnsi="Open Sans" w:cs="Open Sans"/>
        </w:rPr>
        <w:t xml:space="preserve"> learning, assessment and review sessions to be judged to be outstanding within 12 months. </w:t>
      </w:r>
    </w:p>
    <w:p w14:paraId="3D7B77A9" w14:textId="77777777" w:rsidR="00126597" w:rsidRPr="001C44FB" w:rsidRDefault="00126597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C44FB">
        <w:rPr>
          <w:rFonts w:ascii="Open Sans" w:hAnsi="Open Sans" w:cs="Open Sans"/>
          <w:color w:val="007096"/>
          <w:sz w:val="22"/>
          <w:szCs w:val="22"/>
        </w:rPr>
        <w:t>Lessons learned</w:t>
      </w:r>
    </w:p>
    <w:p w14:paraId="44AA66BC" w14:textId="77777777" w:rsidR="00C218CD" w:rsidRPr="001C44FB" w:rsidRDefault="00C218CD" w:rsidP="000D4BB0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Lessons learned include:</w:t>
      </w:r>
    </w:p>
    <w:p w14:paraId="58341A0E" w14:textId="77777777" w:rsidR="003179ED" w:rsidRPr="00F50688" w:rsidRDefault="009F56DD" w:rsidP="00F50688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The d</w:t>
      </w:r>
      <w:r w:rsidR="00823BE5">
        <w:rPr>
          <w:rFonts w:ascii="Open Sans" w:hAnsi="Open Sans" w:cs="Open Sans"/>
        </w:rPr>
        <w:t>ata on the data d</w:t>
      </w:r>
      <w:r w:rsidR="00C218CD" w:rsidRPr="00F50688">
        <w:rPr>
          <w:rFonts w:ascii="Open Sans" w:hAnsi="Open Sans" w:cs="Open Sans"/>
        </w:rPr>
        <w:t xml:space="preserve">ashboards show a very strong correlation between the quality of </w:t>
      </w:r>
      <w:r w:rsidR="00823BE5">
        <w:rPr>
          <w:rFonts w:ascii="Open Sans" w:hAnsi="Open Sans" w:cs="Open Sans"/>
        </w:rPr>
        <w:t>a tutor-a</w:t>
      </w:r>
      <w:r w:rsidR="003179ED" w:rsidRPr="00F50688">
        <w:rPr>
          <w:rFonts w:ascii="Open Sans" w:hAnsi="Open Sans" w:cs="Open Sans"/>
        </w:rPr>
        <w:t>ssessor’s</w:t>
      </w:r>
      <w:r w:rsidRPr="00F50688">
        <w:rPr>
          <w:rFonts w:ascii="Open Sans" w:hAnsi="Open Sans" w:cs="Open Sans"/>
        </w:rPr>
        <w:t xml:space="preserve"> </w:t>
      </w:r>
      <w:r w:rsidR="003179ED" w:rsidRPr="00F50688">
        <w:rPr>
          <w:rFonts w:ascii="Open Sans" w:hAnsi="Open Sans" w:cs="Open Sans"/>
        </w:rPr>
        <w:t>teaching, l</w:t>
      </w:r>
      <w:r w:rsidR="00C218CD" w:rsidRPr="00F50688">
        <w:rPr>
          <w:rFonts w:ascii="Open Sans" w:hAnsi="Open Sans" w:cs="Open Sans"/>
        </w:rPr>
        <w:t>earning</w:t>
      </w:r>
      <w:r w:rsidR="003179ED" w:rsidRPr="00F50688">
        <w:rPr>
          <w:rFonts w:ascii="Open Sans" w:hAnsi="Open Sans" w:cs="Open Sans"/>
        </w:rPr>
        <w:t>, assessment</w:t>
      </w:r>
      <w:r w:rsidR="00C218CD" w:rsidRPr="00F50688">
        <w:rPr>
          <w:rFonts w:ascii="Open Sans" w:hAnsi="Open Sans" w:cs="Open Sans"/>
        </w:rPr>
        <w:t xml:space="preserve"> </w:t>
      </w:r>
      <w:r w:rsidR="003179ED" w:rsidRPr="00F50688">
        <w:rPr>
          <w:rFonts w:ascii="Open Sans" w:hAnsi="Open Sans" w:cs="Open Sans"/>
        </w:rPr>
        <w:t xml:space="preserve">and review practice </w:t>
      </w:r>
      <w:r w:rsidR="00C218CD" w:rsidRPr="00F50688">
        <w:rPr>
          <w:rFonts w:ascii="Open Sans" w:hAnsi="Open Sans" w:cs="Open Sans"/>
        </w:rPr>
        <w:t xml:space="preserve">and </w:t>
      </w:r>
      <w:r w:rsidR="005E7EED" w:rsidRPr="00F50688">
        <w:rPr>
          <w:rFonts w:ascii="Open Sans" w:hAnsi="Open Sans" w:cs="Open Sans"/>
        </w:rPr>
        <w:t xml:space="preserve">their rates for </w:t>
      </w:r>
      <w:r w:rsidR="00C218CD" w:rsidRPr="00F50688">
        <w:rPr>
          <w:rFonts w:ascii="Open Sans" w:hAnsi="Open Sans" w:cs="Open Sans"/>
        </w:rPr>
        <w:t xml:space="preserve">learner attendance, retention and achievement. </w:t>
      </w:r>
      <w:r w:rsidR="006613F1">
        <w:rPr>
          <w:rFonts w:ascii="Open Sans" w:hAnsi="Open Sans" w:cs="Open Sans"/>
        </w:rPr>
        <w:t>The d</w:t>
      </w:r>
      <w:r w:rsidR="003179ED" w:rsidRPr="00F50688">
        <w:rPr>
          <w:rFonts w:ascii="Open Sans" w:hAnsi="Open Sans" w:cs="Open Sans"/>
        </w:rPr>
        <w:t xml:space="preserve">ashboards provide </w:t>
      </w:r>
      <w:r w:rsidR="003179ED" w:rsidRPr="00F50688">
        <w:rPr>
          <w:rFonts w:ascii="Open Sans" w:hAnsi="Open Sans" w:cs="Open Sans"/>
        </w:rPr>
        <w:lastRenderedPageBreak/>
        <w:t>managers with the ‘bigger picture’</w:t>
      </w:r>
      <w:r w:rsidR="00854870" w:rsidRPr="00F50688">
        <w:rPr>
          <w:rFonts w:ascii="Open Sans" w:hAnsi="Open Sans" w:cs="Open Sans"/>
        </w:rPr>
        <w:t>,</w:t>
      </w:r>
      <w:r w:rsidR="003179ED" w:rsidRPr="00F50688">
        <w:rPr>
          <w:rFonts w:ascii="Open Sans" w:hAnsi="Open Sans" w:cs="Open Sans"/>
        </w:rPr>
        <w:t xml:space="preserve"> that in turn helps avoid decisions about current performance being made based solely on the grade from the most recent observation. </w:t>
      </w:r>
      <w:r w:rsidR="00A66DB3">
        <w:rPr>
          <w:rFonts w:ascii="Open Sans" w:hAnsi="Open Sans" w:cs="Open Sans"/>
        </w:rPr>
        <w:t>Similarly, gold standard practitioners/peer m</w:t>
      </w:r>
      <w:r w:rsidR="000C73BC" w:rsidRPr="00F50688">
        <w:rPr>
          <w:rFonts w:ascii="Open Sans" w:hAnsi="Open Sans" w:cs="Open Sans"/>
        </w:rPr>
        <w:t xml:space="preserve">entors can be selected based on their strong performance across a range of key measures. </w:t>
      </w:r>
    </w:p>
    <w:p w14:paraId="61D86A2B" w14:textId="77777777" w:rsidR="003E0444" w:rsidRPr="00F50688" w:rsidRDefault="003179ED" w:rsidP="00F50688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The design of o</w:t>
      </w:r>
      <w:r w:rsidR="00C218CD" w:rsidRPr="00F50688">
        <w:rPr>
          <w:rFonts w:ascii="Open Sans" w:hAnsi="Open Sans" w:cs="Open Sans"/>
        </w:rPr>
        <w:t xml:space="preserve">bservation </w:t>
      </w:r>
      <w:r w:rsidRPr="00F50688">
        <w:rPr>
          <w:rFonts w:ascii="Open Sans" w:hAnsi="Open Sans" w:cs="Open Sans"/>
        </w:rPr>
        <w:t xml:space="preserve">records for teaching, learning and assessment </w:t>
      </w:r>
      <w:r w:rsidR="00C218CD" w:rsidRPr="00F50688">
        <w:rPr>
          <w:rFonts w:ascii="Open Sans" w:hAnsi="Open Sans" w:cs="Open Sans"/>
        </w:rPr>
        <w:t>should be as simple as possible, to ensure that learners, their learning and their progress are the main focus</w:t>
      </w:r>
      <w:r w:rsidR="000C73BC" w:rsidRPr="00F50688">
        <w:rPr>
          <w:rFonts w:ascii="Open Sans" w:hAnsi="Open Sans" w:cs="Open Sans"/>
        </w:rPr>
        <w:t xml:space="preserve"> of evidence collection and judgements</w:t>
      </w:r>
      <w:r w:rsidR="00C218CD" w:rsidRPr="00F50688">
        <w:rPr>
          <w:rFonts w:ascii="Open Sans" w:hAnsi="Open Sans" w:cs="Open Sans"/>
        </w:rPr>
        <w:t xml:space="preserve">. </w:t>
      </w:r>
      <w:r w:rsidR="003E0444" w:rsidRPr="00F50688">
        <w:rPr>
          <w:rFonts w:ascii="Open Sans" w:hAnsi="Open Sans" w:cs="Open Sans"/>
        </w:rPr>
        <w:t>Observation forms that feature lengthy tick list</w:t>
      </w:r>
      <w:r w:rsidRPr="00F50688">
        <w:rPr>
          <w:rFonts w:ascii="Open Sans" w:hAnsi="Open Sans" w:cs="Open Sans"/>
        </w:rPr>
        <w:t>s</w:t>
      </w:r>
      <w:r w:rsidR="003E0444" w:rsidRPr="00F50688">
        <w:rPr>
          <w:rFonts w:ascii="Open Sans" w:hAnsi="Open Sans" w:cs="Open Sans"/>
        </w:rPr>
        <w:t xml:space="preserve"> can d</w:t>
      </w:r>
      <w:r w:rsidRPr="00F50688">
        <w:rPr>
          <w:rFonts w:ascii="Open Sans" w:hAnsi="Open Sans" w:cs="Open Sans"/>
        </w:rPr>
        <w:t>istract observers from what is actually i</w:t>
      </w:r>
      <w:r w:rsidR="003E0444" w:rsidRPr="00F50688">
        <w:rPr>
          <w:rFonts w:ascii="Open Sans" w:hAnsi="Open Sans" w:cs="Open Sans"/>
        </w:rPr>
        <w:t xml:space="preserve">mportant. </w:t>
      </w:r>
    </w:p>
    <w:p w14:paraId="466DE0B7" w14:textId="77777777" w:rsidR="003E0444" w:rsidRPr="00F50688" w:rsidRDefault="003E0444" w:rsidP="00F50688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W</w:t>
      </w:r>
      <w:r w:rsidR="000C73BC" w:rsidRPr="00F50688">
        <w:rPr>
          <w:rFonts w:ascii="Open Sans" w:hAnsi="Open Sans" w:cs="Open Sans"/>
        </w:rPr>
        <w:t>hen conducting observations of a</w:t>
      </w:r>
      <w:r w:rsidRPr="00F50688">
        <w:rPr>
          <w:rFonts w:ascii="Open Sans" w:hAnsi="Open Sans" w:cs="Open Sans"/>
        </w:rPr>
        <w:t xml:space="preserve">ssessment and review, </w:t>
      </w:r>
      <w:r w:rsidR="003179ED" w:rsidRPr="00F50688">
        <w:rPr>
          <w:rFonts w:ascii="Open Sans" w:hAnsi="Open Sans" w:cs="Open Sans"/>
        </w:rPr>
        <w:t>t</w:t>
      </w:r>
      <w:r w:rsidRPr="00F50688">
        <w:rPr>
          <w:rFonts w:ascii="Open Sans" w:hAnsi="Open Sans" w:cs="Open Sans"/>
        </w:rPr>
        <w:t>he opportunity to talk to learners and their</w:t>
      </w:r>
      <w:r w:rsidR="000C73BC" w:rsidRPr="00F50688">
        <w:rPr>
          <w:rFonts w:ascii="Open Sans" w:hAnsi="Open Sans" w:cs="Open Sans"/>
        </w:rPr>
        <w:t xml:space="preserve"> employer</w:t>
      </w:r>
      <w:r w:rsidRPr="00F50688">
        <w:rPr>
          <w:rFonts w:ascii="Open Sans" w:hAnsi="Open Sans" w:cs="Open Sans"/>
        </w:rPr>
        <w:t xml:space="preserve"> about</w:t>
      </w:r>
      <w:r w:rsidR="003179ED" w:rsidRPr="00F50688">
        <w:rPr>
          <w:rFonts w:ascii="Open Sans" w:hAnsi="Open Sans" w:cs="Open Sans"/>
        </w:rPr>
        <w:t xml:space="preserve"> the teaching and learning should</w:t>
      </w:r>
      <w:r w:rsidR="000C73BC" w:rsidRPr="00F50688">
        <w:rPr>
          <w:rFonts w:ascii="Open Sans" w:hAnsi="Open Sans" w:cs="Open Sans"/>
        </w:rPr>
        <w:t xml:space="preserve"> not be missed. Learners talked quite freely about the strengths and perceived areas for improvement in their teaching and learning, when </w:t>
      </w:r>
      <w:r w:rsidR="00854870" w:rsidRPr="00F50688">
        <w:rPr>
          <w:rFonts w:ascii="Open Sans" w:hAnsi="Open Sans" w:cs="Open Sans"/>
        </w:rPr>
        <w:t xml:space="preserve">the purpose of the visit was to observe the assessor. </w:t>
      </w:r>
    </w:p>
    <w:p w14:paraId="0052B84E" w14:textId="77777777" w:rsidR="00C218CD" w:rsidRPr="00F50688" w:rsidRDefault="00A66DB3" w:rsidP="00F50688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</w:t>
      </w:r>
      <w:r w:rsidR="00F36981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 xml:space="preserve"> and s</w:t>
      </w:r>
      <w:r w:rsidR="00C218CD" w:rsidRPr="00F50688">
        <w:rPr>
          <w:rFonts w:ascii="Open Sans" w:hAnsi="Open Sans" w:cs="Open Sans"/>
        </w:rPr>
        <w:t xml:space="preserve">hort-notice observations provide </w:t>
      </w:r>
      <w:r w:rsidR="009F56DD" w:rsidRPr="00F50688">
        <w:rPr>
          <w:rFonts w:ascii="Open Sans" w:hAnsi="Open Sans" w:cs="Open Sans"/>
        </w:rPr>
        <w:t xml:space="preserve">a real </w:t>
      </w:r>
      <w:r>
        <w:rPr>
          <w:rFonts w:ascii="Open Sans" w:hAnsi="Open Sans" w:cs="Open Sans"/>
        </w:rPr>
        <w:t>window to the tutor-a</w:t>
      </w:r>
      <w:r w:rsidR="00C23A34" w:rsidRPr="00F50688">
        <w:rPr>
          <w:rFonts w:ascii="Open Sans" w:hAnsi="Open Sans" w:cs="Open Sans"/>
        </w:rPr>
        <w:t xml:space="preserve">ssessor’s everyday practice </w:t>
      </w:r>
      <w:r w:rsidR="009F56DD" w:rsidRPr="00F50688">
        <w:rPr>
          <w:rFonts w:ascii="Open Sans" w:hAnsi="Open Sans" w:cs="Open Sans"/>
        </w:rPr>
        <w:t>and</w:t>
      </w:r>
      <w:r w:rsidR="005E7EED" w:rsidRPr="00F50688">
        <w:rPr>
          <w:rFonts w:ascii="Open Sans" w:hAnsi="Open Sans" w:cs="Open Sans"/>
        </w:rPr>
        <w:t xml:space="preserve"> the learner’s usual experience</w:t>
      </w:r>
      <w:r>
        <w:rPr>
          <w:rFonts w:ascii="Open Sans" w:hAnsi="Open Sans" w:cs="Open Sans"/>
        </w:rPr>
        <w:t xml:space="preserve"> of the organisation’s a</w:t>
      </w:r>
      <w:r w:rsidR="009F56DD" w:rsidRPr="00F50688">
        <w:rPr>
          <w:rFonts w:ascii="Open Sans" w:hAnsi="Open Sans" w:cs="Open Sans"/>
        </w:rPr>
        <w:t xml:space="preserve">pprenticeship delivery. </w:t>
      </w:r>
    </w:p>
    <w:p w14:paraId="00754A6D" w14:textId="77777777" w:rsidR="000D4BB0" w:rsidRPr="001C44FB" w:rsidRDefault="000D4BB0" w:rsidP="000D4BB0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1C44FB">
        <w:rPr>
          <w:rFonts w:ascii="Open Sans" w:hAnsi="Open Sans" w:cs="Open Sans"/>
          <w:color w:val="007096"/>
          <w:sz w:val="22"/>
          <w:szCs w:val="22"/>
        </w:rPr>
        <w:t>Sustainability</w:t>
      </w:r>
      <w:r w:rsidR="00E8773A" w:rsidRPr="001C44FB">
        <w:rPr>
          <w:rFonts w:ascii="Open Sans" w:hAnsi="Open Sans" w:cs="Open Sans"/>
          <w:color w:val="007096"/>
          <w:sz w:val="22"/>
          <w:szCs w:val="22"/>
        </w:rPr>
        <w:t xml:space="preserve"> and transferability</w:t>
      </w:r>
    </w:p>
    <w:p w14:paraId="2EB4F305" w14:textId="77777777" w:rsidR="000C73BC" w:rsidRPr="001C44FB" w:rsidRDefault="000C73BC" w:rsidP="000D4BB0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The organisation plans to do the following</w:t>
      </w:r>
      <w:r w:rsidR="00582B27" w:rsidRPr="001C44FB">
        <w:rPr>
          <w:rFonts w:ascii="Open Sans" w:hAnsi="Open Sans" w:cs="Open Sans"/>
        </w:rPr>
        <w:t>, in order</w:t>
      </w:r>
      <w:r w:rsidRPr="001C44FB">
        <w:rPr>
          <w:rFonts w:ascii="Open Sans" w:hAnsi="Open Sans" w:cs="Open Sans"/>
        </w:rPr>
        <w:t xml:space="preserve"> to sustain the work of the pro</w:t>
      </w:r>
      <w:r w:rsidR="00582B27" w:rsidRPr="001C44FB">
        <w:rPr>
          <w:rFonts w:ascii="Open Sans" w:hAnsi="Open Sans" w:cs="Open Sans"/>
        </w:rPr>
        <w:t>ject and move 80% of teaching, learning and</w:t>
      </w:r>
      <w:r w:rsidRPr="001C44FB">
        <w:rPr>
          <w:rFonts w:ascii="Open Sans" w:hAnsi="Open Sans" w:cs="Open Sans"/>
        </w:rPr>
        <w:t xml:space="preserve"> assessment to ‘outstanding’</w:t>
      </w:r>
      <w:r w:rsidR="000D4BB0" w:rsidRPr="001C44FB">
        <w:rPr>
          <w:rFonts w:ascii="Open Sans" w:hAnsi="Open Sans" w:cs="Open Sans"/>
        </w:rPr>
        <w:t>:</w:t>
      </w:r>
    </w:p>
    <w:p w14:paraId="6EDBCA3D" w14:textId="77777777" w:rsidR="00421731" w:rsidRPr="00F50688" w:rsidRDefault="00A66DB3" w:rsidP="00F50688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Extend the number of gold standard p</w:t>
      </w:r>
      <w:r w:rsidR="000C73BC" w:rsidRPr="00F50688">
        <w:rPr>
          <w:rFonts w:ascii="Open Sans" w:hAnsi="Open Sans" w:cs="Open Sans"/>
        </w:rPr>
        <w:t>ractitioners so that there are sufficient</w:t>
      </w:r>
      <w:r w:rsidR="00421731" w:rsidRPr="00F50688">
        <w:rPr>
          <w:rFonts w:ascii="Open Sans" w:hAnsi="Open Sans" w:cs="Open Sans"/>
        </w:rPr>
        <w:t xml:space="preserve"> </w:t>
      </w:r>
      <w:r w:rsidR="000C73BC" w:rsidRPr="00F50688">
        <w:rPr>
          <w:rFonts w:ascii="Open Sans" w:hAnsi="Open Sans" w:cs="Open Sans"/>
        </w:rPr>
        <w:t xml:space="preserve">to </w:t>
      </w:r>
      <w:r w:rsidR="00421731" w:rsidRPr="00F50688">
        <w:rPr>
          <w:rFonts w:ascii="Open Sans" w:hAnsi="Open Sans" w:cs="Open Sans"/>
        </w:rPr>
        <w:t>support all staff</w:t>
      </w:r>
      <w:r w:rsidR="00582B27" w:rsidRPr="00F50688">
        <w:rPr>
          <w:rFonts w:ascii="Open Sans" w:hAnsi="Open Sans" w:cs="Open Sans"/>
        </w:rPr>
        <w:t>,</w:t>
      </w:r>
      <w:r w:rsidR="00421731" w:rsidRPr="00F50688">
        <w:rPr>
          <w:rFonts w:ascii="Open Sans" w:hAnsi="Open Sans" w:cs="Open Sans"/>
        </w:rPr>
        <w:t xml:space="preserve"> across all key processes</w:t>
      </w:r>
      <w:r w:rsidR="00854870" w:rsidRPr="00F50688">
        <w:rPr>
          <w:rFonts w:ascii="Open Sans" w:hAnsi="Open Sans" w:cs="Open Sans"/>
        </w:rPr>
        <w:t xml:space="preserve"> and </w:t>
      </w:r>
      <w:r w:rsidR="004D6628" w:rsidRPr="00F50688">
        <w:rPr>
          <w:rFonts w:ascii="Open Sans" w:hAnsi="Open Sans" w:cs="Open Sans"/>
        </w:rPr>
        <w:t>all teams.</w:t>
      </w:r>
    </w:p>
    <w:p w14:paraId="00EA66E6" w14:textId="77777777" w:rsidR="00357B0A" w:rsidRPr="00F50688" w:rsidRDefault="00421731" w:rsidP="00F50688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>Provide a programme of on</w:t>
      </w:r>
      <w:r w:rsidR="00A66DB3">
        <w:rPr>
          <w:rFonts w:ascii="Open Sans" w:hAnsi="Open Sans" w:cs="Open Sans"/>
        </w:rPr>
        <w:t>going training and CPD for the g</w:t>
      </w:r>
      <w:r w:rsidRPr="00F50688">
        <w:rPr>
          <w:rFonts w:ascii="Open Sans" w:hAnsi="Open Sans" w:cs="Open Sans"/>
        </w:rPr>
        <w:t xml:space="preserve">old </w:t>
      </w:r>
      <w:r w:rsidR="00A66DB3">
        <w:rPr>
          <w:rFonts w:ascii="Open Sans" w:hAnsi="Open Sans" w:cs="Open Sans"/>
        </w:rPr>
        <w:t>standard p</w:t>
      </w:r>
      <w:r w:rsidRPr="00F50688">
        <w:rPr>
          <w:rFonts w:ascii="Open Sans" w:hAnsi="Open Sans" w:cs="Open Sans"/>
        </w:rPr>
        <w:t>ractitioners.</w:t>
      </w:r>
    </w:p>
    <w:p w14:paraId="3B7A25D9" w14:textId="77777777" w:rsidR="00421731" w:rsidRPr="00F50688" w:rsidRDefault="00A66DB3" w:rsidP="00F50688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Review how gold standard p</w:t>
      </w:r>
      <w:r w:rsidR="00357B0A" w:rsidRPr="00F50688">
        <w:rPr>
          <w:rFonts w:ascii="Open Sans" w:hAnsi="Open Sans" w:cs="Open Sans"/>
        </w:rPr>
        <w:t xml:space="preserve">ractitioners could work collaboratively with other providers. </w:t>
      </w:r>
    </w:p>
    <w:p w14:paraId="580ADAAF" w14:textId="77777777" w:rsidR="00047890" w:rsidRPr="00F50688" w:rsidRDefault="00A66DB3" w:rsidP="00F50688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Extend the data dashboards to cover study programme and t</w:t>
      </w:r>
      <w:r w:rsidR="00421731" w:rsidRPr="00F50688">
        <w:rPr>
          <w:rFonts w:ascii="Open Sans" w:hAnsi="Open Sans" w:cs="Open Sans"/>
        </w:rPr>
        <w:t xml:space="preserve">raineeship provision. </w:t>
      </w:r>
    </w:p>
    <w:p w14:paraId="3374639C" w14:textId="77777777" w:rsidR="00421731" w:rsidRPr="00F50688" w:rsidRDefault="00047890" w:rsidP="00F50688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 xml:space="preserve">Continue with the programme of observations using the new documentation, </w:t>
      </w:r>
      <w:r w:rsidR="00854870" w:rsidRPr="00F50688">
        <w:rPr>
          <w:rFonts w:ascii="Open Sans" w:hAnsi="Open Sans" w:cs="Open Sans"/>
        </w:rPr>
        <w:t xml:space="preserve">in order to measure progress with achieving the project aims and to identify more good practice. </w:t>
      </w:r>
    </w:p>
    <w:p w14:paraId="131E3110" w14:textId="77777777" w:rsidR="000C73BC" w:rsidRPr="00F50688" w:rsidRDefault="00421731" w:rsidP="00F50688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F50688">
        <w:rPr>
          <w:rFonts w:ascii="Open Sans" w:hAnsi="Open Sans" w:cs="Open Sans"/>
        </w:rPr>
        <w:t xml:space="preserve">Review how </w:t>
      </w:r>
      <w:r w:rsidR="00C7056A" w:rsidRPr="00F50688">
        <w:rPr>
          <w:rFonts w:ascii="Open Sans" w:hAnsi="Open Sans" w:cs="Open Sans"/>
        </w:rPr>
        <w:t xml:space="preserve">business collaboration software </w:t>
      </w:r>
      <w:r w:rsidR="00504036" w:rsidRPr="00F50688">
        <w:rPr>
          <w:rFonts w:ascii="Open Sans" w:hAnsi="Open Sans" w:cs="Open Sans"/>
        </w:rPr>
        <w:t xml:space="preserve">(e.g. </w:t>
      </w:r>
      <w:r w:rsidR="00C7056A" w:rsidRPr="00F50688">
        <w:rPr>
          <w:rFonts w:ascii="Open Sans" w:hAnsi="Open Sans" w:cs="Open Sans"/>
        </w:rPr>
        <w:t>Yammer</w:t>
      </w:r>
      <w:r w:rsidR="00504036" w:rsidRPr="00F50688">
        <w:rPr>
          <w:rFonts w:ascii="Open Sans" w:hAnsi="Open Sans" w:cs="Open Sans"/>
        </w:rPr>
        <w:t>)</w:t>
      </w:r>
      <w:r w:rsidR="00C7056A" w:rsidRPr="00F50688">
        <w:rPr>
          <w:rFonts w:ascii="Open Sans" w:hAnsi="Open Sans" w:cs="Open Sans"/>
        </w:rPr>
        <w:t xml:space="preserve"> can be used internally to share best practice, ideas and resources</w:t>
      </w:r>
      <w:r w:rsidR="00A66DB3">
        <w:rPr>
          <w:rFonts w:ascii="Open Sans" w:hAnsi="Open Sans" w:cs="Open Sans"/>
        </w:rPr>
        <w:t xml:space="preserve"> across a</w:t>
      </w:r>
      <w:r w:rsidR="00504036" w:rsidRPr="00F50688">
        <w:rPr>
          <w:rFonts w:ascii="Open Sans" w:hAnsi="Open Sans" w:cs="Open Sans"/>
        </w:rPr>
        <w:t xml:space="preserve">pprenticeship teams and other provision. </w:t>
      </w:r>
    </w:p>
    <w:p w14:paraId="084D010B" w14:textId="77777777" w:rsidR="004D6628" w:rsidRPr="001C44FB" w:rsidRDefault="004D6628" w:rsidP="004D6628">
      <w:pPr>
        <w:rPr>
          <w:rFonts w:ascii="Open Sans" w:hAnsi="Open Sans" w:cs="Open Sans"/>
        </w:rPr>
      </w:pPr>
      <w:r w:rsidRPr="001C44FB">
        <w:rPr>
          <w:rFonts w:ascii="Open Sans" w:hAnsi="Open Sans" w:cs="Open Sans"/>
        </w:rPr>
        <w:t>The work of the project is transferable to other organisations, setting</w:t>
      </w:r>
      <w:r w:rsidR="00854870" w:rsidRPr="001C44FB">
        <w:rPr>
          <w:rFonts w:ascii="Open Sans" w:hAnsi="Open Sans" w:cs="Open Sans"/>
        </w:rPr>
        <w:t>s</w:t>
      </w:r>
      <w:r w:rsidRPr="001C44FB">
        <w:rPr>
          <w:rFonts w:ascii="Open Sans" w:hAnsi="Open Sans" w:cs="Open Sans"/>
        </w:rPr>
        <w:t xml:space="preserve"> and groups in the following ways: </w:t>
      </w:r>
    </w:p>
    <w:p w14:paraId="0D2DA864" w14:textId="77777777" w:rsidR="005B0B9E" w:rsidRPr="00A66DB3" w:rsidRDefault="00A66DB3" w:rsidP="00A66DB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performance and quality management framework and toolkit, including the new o</w:t>
      </w:r>
      <w:r w:rsidR="005B0B9E" w:rsidRPr="00A66DB3">
        <w:rPr>
          <w:rFonts w:ascii="Open Sans" w:hAnsi="Open Sans" w:cs="Open Sans"/>
        </w:rPr>
        <w:t>bservation and CPD records</w:t>
      </w:r>
      <w:r w:rsidR="00854870" w:rsidRPr="00A66DB3">
        <w:rPr>
          <w:rFonts w:ascii="Open Sans" w:hAnsi="Open Sans" w:cs="Open Sans"/>
        </w:rPr>
        <w:t>,</w:t>
      </w:r>
      <w:r w:rsidR="005B0B9E" w:rsidRPr="00A66DB3">
        <w:rPr>
          <w:rFonts w:ascii="Open Sans" w:hAnsi="Open Sans" w:cs="Open Sans"/>
        </w:rPr>
        <w:t xml:space="preserve"> can be adapted </w:t>
      </w:r>
      <w:r w:rsidR="005B0B9E" w:rsidRPr="00A66DB3">
        <w:rPr>
          <w:rFonts w:ascii="Open Sans" w:hAnsi="Open Sans" w:cs="Open Sans"/>
        </w:rPr>
        <w:lastRenderedPageBreak/>
        <w:t>and used by</w:t>
      </w:r>
      <w:r>
        <w:rPr>
          <w:rFonts w:ascii="Open Sans" w:hAnsi="Open Sans" w:cs="Open Sans"/>
        </w:rPr>
        <w:t xml:space="preserve"> other providers in a range of a</w:t>
      </w:r>
      <w:r w:rsidR="005B0B9E" w:rsidRPr="00A66DB3">
        <w:rPr>
          <w:rFonts w:ascii="Open Sans" w:hAnsi="Open Sans" w:cs="Open Sans"/>
        </w:rPr>
        <w:t xml:space="preserve">pprenticeship settings. </w:t>
      </w:r>
    </w:p>
    <w:p w14:paraId="2BA1A9F2" w14:textId="77777777" w:rsidR="005B0B9E" w:rsidRPr="00F50688" w:rsidRDefault="00A66DB3" w:rsidP="00F50688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Data d</w:t>
      </w:r>
      <w:r w:rsidR="005B0B9E" w:rsidRPr="00F50688">
        <w:rPr>
          <w:rFonts w:ascii="Open Sans" w:hAnsi="Open Sans" w:cs="Open Sans"/>
        </w:rPr>
        <w:t>ashboards can be set up by importing data on attendance, retention and achievement by member</w:t>
      </w:r>
      <w:r w:rsidR="00F36981">
        <w:rPr>
          <w:rFonts w:ascii="Open Sans" w:hAnsi="Open Sans" w:cs="Open Sans"/>
        </w:rPr>
        <w:t>s</w:t>
      </w:r>
      <w:r w:rsidR="005B0B9E" w:rsidRPr="00F50688">
        <w:rPr>
          <w:rFonts w:ascii="Open Sans" w:hAnsi="Open Sans" w:cs="Open Sans"/>
        </w:rPr>
        <w:t xml:space="preserve"> of staff and presenting this alongside data on the outcomes from </w:t>
      </w:r>
      <w:r w:rsidR="00854870" w:rsidRPr="00F50688">
        <w:rPr>
          <w:rFonts w:ascii="Open Sans" w:hAnsi="Open Sans" w:cs="Open Sans"/>
        </w:rPr>
        <w:t xml:space="preserve">their </w:t>
      </w:r>
      <w:r w:rsidR="005B0B9E" w:rsidRPr="00F50688">
        <w:rPr>
          <w:rFonts w:ascii="Open Sans" w:hAnsi="Open Sans" w:cs="Open Sans"/>
        </w:rPr>
        <w:t xml:space="preserve">most recent observations. </w:t>
      </w:r>
    </w:p>
    <w:p w14:paraId="7401636E" w14:textId="77777777" w:rsidR="0079363C" w:rsidRDefault="00A526D0" w:rsidP="00F50688">
      <w:pPr>
        <w:pStyle w:val="ListParagraph"/>
        <w:numPr>
          <w:ilvl w:val="0"/>
          <w:numId w:val="20"/>
        </w:numPr>
      </w:pPr>
      <w:r w:rsidRPr="00F50688">
        <w:rPr>
          <w:rFonts w:ascii="Open Sans" w:hAnsi="Open Sans" w:cs="Open Sans"/>
        </w:rPr>
        <w:t xml:space="preserve">The CPD survey questions can be used by </w:t>
      </w:r>
      <w:r w:rsidR="00854870" w:rsidRPr="00F50688">
        <w:rPr>
          <w:rFonts w:ascii="Open Sans" w:hAnsi="Open Sans" w:cs="Open Sans"/>
        </w:rPr>
        <w:t xml:space="preserve">other </w:t>
      </w:r>
      <w:r w:rsidRPr="00F50688">
        <w:rPr>
          <w:rFonts w:ascii="Open Sans" w:hAnsi="Open Sans" w:cs="Open Sans"/>
        </w:rPr>
        <w:t>providers to survey their own staff about implementation of the Professional Standard</w:t>
      </w:r>
      <w:r>
        <w:t xml:space="preserve">s. </w:t>
      </w:r>
    </w:p>
    <w:p w14:paraId="74506DD7" w14:textId="77777777" w:rsidR="001C44FB" w:rsidRPr="001C44FB" w:rsidRDefault="001C44FB" w:rsidP="001C44FB">
      <w:pPr>
        <w:rPr>
          <w:rFonts w:ascii="Open Sans" w:hAnsi="Open Sans" w:cs="Open Sans"/>
          <w:b/>
          <w:color w:val="007096"/>
        </w:rPr>
      </w:pPr>
      <w:r>
        <w:rPr>
          <w:rFonts w:ascii="Open Sans" w:hAnsi="Open Sans" w:cs="Open Sans"/>
          <w:b/>
          <w:color w:val="007096"/>
        </w:rPr>
        <w:t>Case study written by Julie Guest, Peer Advisor</w:t>
      </w:r>
    </w:p>
    <w:sectPr w:rsidR="001C44FB" w:rsidRPr="001C44FB" w:rsidSect="0032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2CCE" w14:textId="77777777" w:rsidR="00F91D55" w:rsidRDefault="00F91D55" w:rsidP="006D3E55">
      <w:pPr>
        <w:spacing w:after="0" w:line="240" w:lineRule="auto"/>
      </w:pPr>
      <w:r>
        <w:separator/>
      </w:r>
    </w:p>
  </w:endnote>
  <w:endnote w:type="continuationSeparator" w:id="0">
    <w:p w14:paraId="6C6A2D0D" w14:textId="77777777" w:rsidR="00F91D55" w:rsidRDefault="00F91D55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undry Form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C8EB" w14:textId="77777777" w:rsidR="000A0A76" w:rsidRDefault="000A0A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5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1D7C5" w14:textId="77777777" w:rsidR="00DD48C3" w:rsidRDefault="00DD4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F59D0" w14:textId="77777777" w:rsidR="00DD48C3" w:rsidRDefault="00DD48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DFD6" w14:textId="77777777" w:rsidR="000A0A76" w:rsidRDefault="000A0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CD1D" w14:textId="77777777" w:rsidR="00F91D55" w:rsidRDefault="00F91D55" w:rsidP="006D3E55">
      <w:pPr>
        <w:spacing w:after="0" w:line="240" w:lineRule="auto"/>
      </w:pPr>
      <w:r>
        <w:separator/>
      </w:r>
    </w:p>
  </w:footnote>
  <w:footnote w:type="continuationSeparator" w:id="0">
    <w:p w14:paraId="6F2EECE4" w14:textId="77777777" w:rsidR="00F91D55" w:rsidRDefault="00F91D55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08D1" w14:textId="77777777" w:rsidR="000A0A76" w:rsidRDefault="000A0A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4FCD" w14:textId="77777777" w:rsidR="00F91D55" w:rsidRDefault="00F91D55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EA4022" wp14:editId="05AB03E4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8217" w14:textId="77777777" w:rsidR="000A0A76" w:rsidRDefault="000A0A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C61"/>
    <w:multiLevelType w:val="hybridMultilevel"/>
    <w:tmpl w:val="4B00CED8"/>
    <w:lvl w:ilvl="0" w:tplc="484AA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1456"/>
    <w:multiLevelType w:val="hybridMultilevel"/>
    <w:tmpl w:val="A18274F4"/>
    <w:lvl w:ilvl="0" w:tplc="484AA754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7615"/>
    <w:multiLevelType w:val="hybridMultilevel"/>
    <w:tmpl w:val="974C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63B6"/>
    <w:multiLevelType w:val="hybridMultilevel"/>
    <w:tmpl w:val="04F450D2"/>
    <w:lvl w:ilvl="0" w:tplc="484AA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E2A04"/>
    <w:multiLevelType w:val="hybridMultilevel"/>
    <w:tmpl w:val="2FB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E0162"/>
    <w:multiLevelType w:val="hybridMultilevel"/>
    <w:tmpl w:val="5F9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B0F5A"/>
    <w:multiLevelType w:val="hybridMultilevel"/>
    <w:tmpl w:val="683A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F193E"/>
    <w:multiLevelType w:val="hybridMultilevel"/>
    <w:tmpl w:val="19CC2F4C"/>
    <w:lvl w:ilvl="0" w:tplc="484AA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1514D"/>
    <w:multiLevelType w:val="hybridMultilevel"/>
    <w:tmpl w:val="8290772E"/>
    <w:lvl w:ilvl="0" w:tplc="484AA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33805"/>
    <w:multiLevelType w:val="hybridMultilevel"/>
    <w:tmpl w:val="8864FA36"/>
    <w:lvl w:ilvl="0" w:tplc="484AA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253A"/>
    <w:multiLevelType w:val="hybridMultilevel"/>
    <w:tmpl w:val="D39E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E8B45D6"/>
    <w:multiLevelType w:val="hybridMultilevel"/>
    <w:tmpl w:val="BFA0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6066"/>
    <w:multiLevelType w:val="hybridMultilevel"/>
    <w:tmpl w:val="FF0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20CB5"/>
    <w:multiLevelType w:val="hybridMultilevel"/>
    <w:tmpl w:val="64EE96D2"/>
    <w:lvl w:ilvl="0" w:tplc="484AA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9"/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A1"/>
    <w:rsid w:val="000152D3"/>
    <w:rsid w:val="00025F6E"/>
    <w:rsid w:val="000316AB"/>
    <w:rsid w:val="00043DB9"/>
    <w:rsid w:val="00047890"/>
    <w:rsid w:val="000524A7"/>
    <w:rsid w:val="000567F0"/>
    <w:rsid w:val="00077E4A"/>
    <w:rsid w:val="000A0A76"/>
    <w:rsid w:val="000B784E"/>
    <w:rsid w:val="000C6C6C"/>
    <w:rsid w:val="000C73BC"/>
    <w:rsid w:val="000D4BB0"/>
    <w:rsid w:val="00104B5C"/>
    <w:rsid w:val="00126597"/>
    <w:rsid w:val="001303F9"/>
    <w:rsid w:val="00163F1E"/>
    <w:rsid w:val="001847A1"/>
    <w:rsid w:val="001C44FB"/>
    <w:rsid w:val="001C4D85"/>
    <w:rsid w:val="001D2683"/>
    <w:rsid w:val="001D6EF4"/>
    <w:rsid w:val="00235FE2"/>
    <w:rsid w:val="00237634"/>
    <w:rsid w:val="002B41D4"/>
    <w:rsid w:val="002B5DEF"/>
    <w:rsid w:val="003048B2"/>
    <w:rsid w:val="003179ED"/>
    <w:rsid w:val="003239F5"/>
    <w:rsid w:val="0034579B"/>
    <w:rsid w:val="00347217"/>
    <w:rsid w:val="00357B0A"/>
    <w:rsid w:val="003B396C"/>
    <w:rsid w:val="003E0444"/>
    <w:rsid w:val="003E7297"/>
    <w:rsid w:val="00421731"/>
    <w:rsid w:val="00422CD8"/>
    <w:rsid w:val="0046644A"/>
    <w:rsid w:val="00473D14"/>
    <w:rsid w:val="004D6628"/>
    <w:rsid w:val="00504036"/>
    <w:rsid w:val="00526171"/>
    <w:rsid w:val="00582B27"/>
    <w:rsid w:val="00596EB3"/>
    <w:rsid w:val="005B0B9E"/>
    <w:rsid w:val="005D20A1"/>
    <w:rsid w:val="005D25A9"/>
    <w:rsid w:val="005E7EED"/>
    <w:rsid w:val="005F0DCE"/>
    <w:rsid w:val="00622CA4"/>
    <w:rsid w:val="00640F8C"/>
    <w:rsid w:val="00660824"/>
    <w:rsid w:val="006613F1"/>
    <w:rsid w:val="00664330"/>
    <w:rsid w:val="00692077"/>
    <w:rsid w:val="00693654"/>
    <w:rsid w:val="00695F45"/>
    <w:rsid w:val="006A2AF6"/>
    <w:rsid w:val="006A2FA9"/>
    <w:rsid w:val="006B4503"/>
    <w:rsid w:val="006C0B21"/>
    <w:rsid w:val="006C4832"/>
    <w:rsid w:val="006D3E55"/>
    <w:rsid w:val="006D6341"/>
    <w:rsid w:val="006E04EB"/>
    <w:rsid w:val="006E75BC"/>
    <w:rsid w:val="006F35B4"/>
    <w:rsid w:val="00706FCB"/>
    <w:rsid w:val="00717220"/>
    <w:rsid w:val="00732551"/>
    <w:rsid w:val="00746EBA"/>
    <w:rsid w:val="0075244F"/>
    <w:rsid w:val="0079363C"/>
    <w:rsid w:val="007A20C0"/>
    <w:rsid w:val="007C2438"/>
    <w:rsid w:val="007D4930"/>
    <w:rsid w:val="00823BE5"/>
    <w:rsid w:val="008448C4"/>
    <w:rsid w:val="00850F07"/>
    <w:rsid w:val="00851C3A"/>
    <w:rsid w:val="00854870"/>
    <w:rsid w:val="008554C1"/>
    <w:rsid w:val="00856620"/>
    <w:rsid w:val="0088198D"/>
    <w:rsid w:val="008B681E"/>
    <w:rsid w:val="008F4835"/>
    <w:rsid w:val="00917876"/>
    <w:rsid w:val="00967F05"/>
    <w:rsid w:val="00973D2C"/>
    <w:rsid w:val="00994CE1"/>
    <w:rsid w:val="009B0BAE"/>
    <w:rsid w:val="009B548B"/>
    <w:rsid w:val="009D35D1"/>
    <w:rsid w:val="009D4456"/>
    <w:rsid w:val="009F56DD"/>
    <w:rsid w:val="00A2349B"/>
    <w:rsid w:val="00A25363"/>
    <w:rsid w:val="00A4398D"/>
    <w:rsid w:val="00A45BA1"/>
    <w:rsid w:val="00A526D0"/>
    <w:rsid w:val="00A66DB3"/>
    <w:rsid w:val="00AB684F"/>
    <w:rsid w:val="00AD55E8"/>
    <w:rsid w:val="00B14DED"/>
    <w:rsid w:val="00B57422"/>
    <w:rsid w:val="00B674CA"/>
    <w:rsid w:val="00BA0EDD"/>
    <w:rsid w:val="00BA43C5"/>
    <w:rsid w:val="00BA6D80"/>
    <w:rsid w:val="00BD579D"/>
    <w:rsid w:val="00C05B46"/>
    <w:rsid w:val="00C177B1"/>
    <w:rsid w:val="00C218CD"/>
    <w:rsid w:val="00C23A34"/>
    <w:rsid w:val="00C7056A"/>
    <w:rsid w:val="00CB52C1"/>
    <w:rsid w:val="00D22FB0"/>
    <w:rsid w:val="00D321DA"/>
    <w:rsid w:val="00D63850"/>
    <w:rsid w:val="00D96C35"/>
    <w:rsid w:val="00DA16E2"/>
    <w:rsid w:val="00DB5ABC"/>
    <w:rsid w:val="00DC5312"/>
    <w:rsid w:val="00DD48C3"/>
    <w:rsid w:val="00E20CF7"/>
    <w:rsid w:val="00E5334B"/>
    <w:rsid w:val="00E8773A"/>
    <w:rsid w:val="00EB7C66"/>
    <w:rsid w:val="00ED252E"/>
    <w:rsid w:val="00EE2D7C"/>
    <w:rsid w:val="00EF7798"/>
    <w:rsid w:val="00F03441"/>
    <w:rsid w:val="00F36981"/>
    <w:rsid w:val="00F50688"/>
    <w:rsid w:val="00F71844"/>
    <w:rsid w:val="00F91D55"/>
    <w:rsid w:val="00FD0C58"/>
    <w:rsid w:val="00FE32C5"/>
    <w:rsid w:val="00FE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E08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98D"/>
    <w:pPr>
      <w:autoSpaceDE w:val="0"/>
      <w:autoSpaceDN w:val="0"/>
      <w:adjustRightInd w:val="0"/>
      <w:spacing w:after="0" w:line="240" w:lineRule="auto"/>
    </w:pPr>
    <w:rPr>
      <w:rFonts w:ascii="Foundry Form Sans" w:eastAsia="Calibri" w:hAnsi="Foundry Form Sans" w:cs="Foundry Form Sans"/>
      <w:color w:val="000000"/>
      <w:szCs w:val="24"/>
    </w:rPr>
  </w:style>
  <w:style w:type="character" w:styleId="Hyperlink">
    <w:name w:val="Hyperlink"/>
    <w:basedOn w:val="DefaultParagraphFont"/>
    <w:rsid w:val="0059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9B5F-AD6E-D241-9E17-37FFBF9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1454</Words>
  <Characters>8293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emily.jones</dc:creator>
  <cp:lastModifiedBy>Linda Simpson</cp:lastModifiedBy>
  <cp:revision>3</cp:revision>
  <dcterms:created xsi:type="dcterms:W3CDTF">2016-02-17T14:00:00Z</dcterms:created>
  <dcterms:modified xsi:type="dcterms:W3CDTF">2016-02-17T17:22:00Z</dcterms:modified>
</cp:coreProperties>
</file>