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03F42" w14:textId="2D8EA05F" w:rsidR="00566770" w:rsidRPr="00B60BF7" w:rsidRDefault="00566770" w:rsidP="00566770">
      <w:pPr>
        <w:rPr>
          <w:rFonts w:asciiTheme="majorHAnsi" w:hAnsiTheme="majorHAnsi"/>
          <w:sz w:val="22"/>
          <w:szCs w:val="22"/>
        </w:rPr>
      </w:pPr>
      <w:r w:rsidRPr="00566770">
        <w:rPr>
          <w:rFonts w:asciiTheme="majorHAnsi" w:hAnsiTheme="majorHAnsi"/>
          <w:sz w:val="22"/>
          <w:szCs w:val="22"/>
        </w:rPr>
        <w:t xml:space="preserve">These </w:t>
      </w:r>
      <w:r w:rsidR="00B60BF7">
        <w:rPr>
          <w:rFonts w:asciiTheme="majorHAnsi" w:hAnsiTheme="majorHAnsi"/>
          <w:sz w:val="22"/>
          <w:szCs w:val="22"/>
        </w:rPr>
        <w:t>resources have been</w:t>
      </w:r>
      <w:r w:rsidRPr="00B60BF7">
        <w:rPr>
          <w:rFonts w:asciiTheme="majorHAnsi" w:hAnsiTheme="majorHAnsi"/>
          <w:sz w:val="22"/>
          <w:szCs w:val="22"/>
        </w:rPr>
        <w:t xml:space="preserve"> migrated from the now closed Teaching and Learning site.  Some of the resources from that programme were made available in a format to download and then run as a CD.    We have enabled the viewing of the package on screen.  </w:t>
      </w:r>
    </w:p>
    <w:p w14:paraId="3A7790EE" w14:textId="77777777" w:rsidR="00566770" w:rsidRPr="00B60BF7" w:rsidRDefault="00566770" w:rsidP="00566770">
      <w:pPr>
        <w:rPr>
          <w:rFonts w:asciiTheme="majorHAnsi" w:hAnsiTheme="majorHAnsi"/>
          <w:sz w:val="22"/>
          <w:szCs w:val="22"/>
        </w:rPr>
      </w:pPr>
    </w:p>
    <w:p w14:paraId="17FFDF04" w14:textId="77777777" w:rsidR="00566770" w:rsidRPr="00B60BF7" w:rsidRDefault="00566770" w:rsidP="00566770">
      <w:pPr>
        <w:rPr>
          <w:rFonts w:asciiTheme="majorHAnsi" w:hAnsiTheme="majorHAnsi"/>
          <w:sz w:val="22"/>
          <w:szCs w:val="22"/>
        </w:rPr>
      </w:pPr>
      <w:r w:rsidRPr="00B60BF7">
        <w:rPr>
          <w:rFonts w:asciiTheme="majorHAnsi" w:hAnsiTheme="majorHAnsi"/>
          <w:sz w:val="22"/>
          <w:szCs w:val="22"/>
        </w:rPr>
        <w:t>Links to material that was not on the CD are broken and unfortunately we do not have the budget to repair them.   However the key information and files are operational as is the navigation.</w:t>
      </w:r>
    </w:p>
    <w:p w14:paraId="64F2F45F" w14:textId="77777777" w:rsidR="00566770" w:rsidRPr="00B60BF7" w:rsidRDefault="00566770">
      <w:pPr>
        <w:rPr>
          <w:rFonts w:asciiTheme="majorHAnsi" w:hAnsiTheme="majorHAnsi"/>
          <w:sz w:val="22"/>
          <w:szCs w:val="22"/>
        </w:rPr>
      </w:pPr>
    </w:p>
    <w:tbl>
      <w:tblPr>
        <w:tblStyle w:val="TableGrid"/>
        <w:tblW w:w="0" w:type="auto"/>
        <w:tblLook w:val="04A0" w:firstRow="1" w:lastRow="0" w:firstColumn="1" w:lastColumn="0" w:noHBand="0" w:noVBand="1"/>
      </w:tblPr>
      <w:tblGrid>
        <w:gridCol w:w="1981"/>
        <w:gridCol w:w="4648"/>
        <w:gridCol w:w="1601"/>
      </w:tblGrid>
      <w:tr w:rsidR="00566770" w:rsidRPr="00061410" w14:paraId="1CCA1A9C" w14:textId="77777777" w:rsidTr="00061410">
        <w:tc>
          <w:tcPr>
            <w:tcW w:w="1981" w:type="dxa"/>
          </w:tcPr>
          <w:p w14:paraId="43D00D42" w14:textId="77777777" w:rsidR="00566770" w:rsidRPr="00061410" w:rsidRDefault="00566770" w:rsidP="00FA7F42">
            <w:pPr>
              <w:widowControl w:val="0"/>
              <w:tabs>
                <w:tab w:val="left" w:pos="220"/>
                <w:tab w:val="left" w:pos="720"/>
              </w:tabs>
              <w:autoSpaceDE w:val="0"/>
              <w:autoSpaceDN w:val="0"/>
              <w:adjustRightInd w:val="0"/>
              <w:rPr>
                <w:rFonts w:asciiTheme="majorHAnsi" w:hAnsiTheme="majorHAnsi"/>
                <w:b/>
                <w:sz w:val="20"/>
                <w:szCs w:val="20"/>
              </w:rPr>
            </w:pPr>
            <w:r w:rsidRPr="00061410">
              <w:rPr>
                <w:rFonts w:asciiTheme="majorHAnsi" w:hAnsiTheme="majorHAnsi"/>
                <w:b/>
                <w:sz w:val="20"/>
                <w:szCs w:val="20"/>
              </w:rPr>
              <w:t>Subject and title of package as on old Teaching and learning site</w:t>
            </w:r>
          </w:p>
        </w:tc>
        <w:tc>
          <w:tcPr>
            <w:tcW w:w="4648" w:type="dxa"/>
            <w:vMerge w:val="restart"/>
          </w:tcPr>
          <w:p w14:paraId="1F998834" w14:textId="77777777" w:rsidR="00566770" w:rsidRPr="00061410" w:rsidRDefault="00566770" w:rsidP="00FA7F42">
            <w:pPr>
              <w:rPr>
                <w:rFonts w:asciiTheme="majorHAnsi" w:hAnsiTheme="majorHAnsi"/>
                <w:b/>
                <w:sz w:val="20"/>
                <w:szCs w:val="20"/>
              </w:rPr>
            </w:pPr>
            <w:r w:rsidRPr="00061410">
              <w:rPr>
                <w:rFonts w:asciiTheme="majorHAnsi" w:hAnsiTheme="majorHAnsi"/>
                <w:b/>
                <w:sz w:val="20"/>
                <w:szCs w:val="20"/>
              </w:rPr>
              <w:t>What is on the package</w:t>
            </w:r>
          </w:p>
        </w:tc>
        <w:tc>
          <w:tcPr>
            <w:tcW w:w="1601" w:type="dxa"/>
            <w:vMerge w:val="restart"/>
          </w:tcPr>
          <w:p w14:paraId="600AE398" w14:textId="77777777" w:rsidR="00566770" w:rsidRPr="00061410" w:rsidRDefault="00566770" w:rsidP="00FA7F42">
            <w:pPr>
              <w:rPr>
                <w:rFonts w:asciiTheme="majorHAnsi" w:hAnsiTheme="majorHAnsi"/>
                <w:b/>
                <w:sz w:val="20"/>
                <w:szCs w:val="20"/>
              </w:rPr>
            </w:pPr>
            <w:r w:rsidRPr="00061410">
              <w:rPr>
                <w:rFonts w:asciiTheme="majorHAnsi" w:hAnsiTheme="majorHAnsi"/>
                <w:b/>
                <w:sz w:val="20"/>
                <w:szCs w:val="20"/>
              </w:rPr>
              <w:t>What is missing</w:t>
            </w:r>
          </w:p>
        </w:tc>
      </w:tr>
      <w:tr w:rsidR="00566770" w:rsidRPr="00061410" w14:paraId="43BC967D" w14:textId="77777777" w:rsidTr="00061410">
        <w:tc>
          <w:tcPr>
            <w:tcW w:w="1981" w:type="dxa"/>
          </w:tcPr>
          <w:p w14:paraId="106B84BA" w14:textId="72F448B2" w:rsidR="00566770" w:rsidRPr="00061410" w:rsidRDefault="00566770" w:rsidP="00FA7F42">
            <w:pPr>
              <w:widowControl w:val="0"/>
              <w:tabs>
                <w:tab w:val="left" w:pos="220"/>
                <w:tab w:val="left" w:pos="720"/>
              </w:tabs>
              <w:autoSpaceDE w:val="0"/>
              <w:autoSpaceDN w:val="0"/>
              <w:adjustRightInd w:val="0"/>
              <w:rPr>
                <w:rFonts w:asciiTheme="majorHAnsi" w:hAnsiTheme="majorHAnsi"/>
                <w:sz w:val="20"/>
                <w:szCs w:val="20"/>
              </w:rPr>
            </w:pPr>
            <w:r w:rsidRPr="00061410">
              <w:rPr>
                <w:rFonts w:asciiTheme="majorHAnsi" w:hAnsiTheme="majorHAnsi"/>
                <w:sz w:val="20"/>
                <w:szCs w:val="20"/>
              </w:rPr>
              <w:t>Click on the link below to access the package</w:t>
            </w:r>
          </w:p>
        </w:tc>
        <w:tc>
          <w:tcPr>
            <w:tcW w:w="4648" w:type="dxa"/>
            <w:vMerge/>
          </w:tcPr>
          <w:p w14:paraId="07CF93F0" w14:textId="77777777" w:rsidR="00566770" w:rsidRPr="00061410" w:rsidRDefault="00566770" w:rsidP="00FA7F42">
            <w:pPr>
              <w:rPr>
                <w:rFonts w:asciiTheme="majorHAnsi" w:hAnsiTheme="majorHAnsi"/>
                <w:sz w:val="20"/>
                <w:szCs w:val="20"/>
              </w:rPr>
            </w:pPr>
          </w:p>
        </w:tc>
        <w:tc>
          <w:tcPr>
            <w:tcW w:w="1601" w:type="dxa"/>
            <w:vMerge/>
          </w:tcPr>
          <w:p w14:paraId="416B12CA" w14:textId="77777777" w:rsidR="00566770" w:rsidRPr="00061410" w:rsidRDefault="00566770" w:rsidP="00FA7F42">
            <w:pPr>
              <w:rPr>
                <w:rFonts w:asciiTheme="majorHAnsi" w:hAnsiTheme="majorHAnsi"/>
                <w:sz w:val="20"/>
                <w:szCs w:val="20"/>
              </w:rPr>
            </w:pPr>
          </w:p>
        </w:tc>
      </w:tr>
      <w:tr w:rsidR="00566770" w:rsidRPr="00061410" w14:paraId="689398CE" w14:textId="77777777" w:rsidTr="00061410">
        <w:tc>
          <w:tcPr>
            <w:tcW w:w="1981" w:type="dxa"/>
          </w:tcPr>
          <w:p w14:paraId="00910C3C" w14:textId="77777777" w:rsidR="00E52E94" w:rsidRPr="00061410" w:rsidRDefault="005C4F4B" w:rsidP="00E52E94">
            <w:pPr>
              <w:widowControl w:val="0"/>
              <w:tabs>
                <w:tab w:val="left" w:pos="220"/>
                <w:tab w:val="left" w:pos="720"/>
              </w:tabs>
              <w:autoSpaceDE w:val="0"/>
              <w:autoSpaceDN w:val="0"/>
              <w:adjustRightInd w:val="0"/>
              <w:rPr>
                <w:rFonts w:asciiTheme="majorHAnsi" w:hAnsiTheme="majorHAnsi" w:cs="Whitman-RomanLF"/>
                <w:color w:val="4D3F5E"/>
                <w:sz w:val="20"/>
                <w:szCs w:val="20"/>
                <w:lang w:val="en-US"/>
              </w:rPr>
            </w:pPr>
            <w:hyperlink r:id="rId5" w:history="1">
              <w:r w:rsidR="00E52E94" w:rsidRPr="00061410">
                <w:rPr>
                  <w:rFonts w:asciiTheme="majorHAnsi" w:hAnsiTheme="majorHAnsi" w:cs="Whitman-RomanLF"/>
                  <w:color w:val="E7742C"/>
                  <w:sz w:val="20"/>
                  <w:szCs w:val="20"/>
                  <w:lang w:val="en-US"/>
                </w:rPr>
                <w:t>CBE-Improving-Teaching-and-Learning</w:t>
              </w:r>
            </w:hyperlink>
          </w:p>
          <w:p w14:paraId="266648A6" w14:textId="77777777" w:rsidR="00566770" w:rsidRPr="00061410" w:rsidRDefault="00566770" w:rsidP="00E52E94">
            <w:pPr>
              <w:widowControl w:val="0"/>
              <w:tabs>
                <w:tab w:val="left" w:pos="220"/>
                <w:tab w:val="left" w:pos="720"/>
              </w:tabs>
              <w:autoSpaceDE w:val="0"/>
              <w:autoSpaceDN w:val="0"/>
              <w:adjustRightInd w:val="0"/>
              <w:rPr>
                <w:rFonts w:asciiTheme="majorHAnsi" w:hAnsiTheme="majorHAnsi"/>
                <w:sz w:val="20"/>
                <w:szCs w:val="20"/>
              </w:rPr>
            </w:pPr>
          </w:p>
        </w:tc>
        <w:tc>
          <w:tcPr>
            <w:tcW w:w="4648" w:type="dxa"/>
          </w:tcPr>
          <w:p w14:paraId="7A020490" w14:textId="5B34B8AA" w:rsidR="00C829D8" w:rsidRPr="00061410" w:rsidRDefault="00C829D8" w:rsidP="00C829D8">
            <w:pPr>
              <w:widowControl w:val="0"/>
              <w:autoSpaceDE w:val="0"/>
              <w:autoSpaceDN w:val="0"/>
              <w:adjustRightInd w:val="0"/>
              <w:rPr>
                <w:rFonts w:asciiTheme="majorHAnsi" w:hAnsiTheme="majorHAnsi" w:cs="Whitman-RomanLF"/>
                <w:sz w:val="20"/>
                <w:szCs w:val="20"/>
                <w:lang w:val="en-US"/>
              </w:rPr>
            </w:pPr>
            <w:r w:rsidRPr="00061410">
              <w:rPr>
                <w:rFonts w:asciiTheme="majorHAnsi" w:hAnsiTheme="majorHAnsi" w:cs="Whitman-RomanLF"/>
                <w:sz w:val="20"/>
                <w:szCs w:val="20"/>
                <w:lang w:val="en-US"/>
              </w:rPr>
              <w:t>Improving teaching, training and learning in Construction and the built environment.</w:t>
            </w:r>
          </w:p>
          <w:p w14:paraId="451E92F9" w14:textId="77777777" w:rsidR="00566770" w:rsidRPr="00061410" w:rsidRDefault="00C829D8" w:rsidP="00C829D8">
            <w:pPr>
              <w:widowControl w:val="0"/>
              <w:autoSpaceDE w:val="0"/>
              <w:autoSpaceDN w:val="0"/>
              <w:adjustRightInd w:val="0"/>
              <w:rPr>
                <w:rFonts w:asciiTheme="majorHAnsi" w:hAnsiTheme="majorHAnsi" w:cs="Whitman-RomanLF"/>
                <w:sz w:val="20"/>
                <w:szCs w:val="20"/>
                <w:lang w:val="en-US"/>
              </w:rPr>
            </w:pPr>
            <w:r w:rsidRPr="00061410">
              <w:rPr>
                <w:rFonts w:asciiTheme="majorHAnsi" w:hAnsiTheme="majorHAnsi" w:cs="Whitman-RomanLF"/>
                <w:sz w:val="20"/>
                <w:szCs w:val="20"/>
                <w:lang w:val="en-US"/>
              </w:rPr>
              <w:t>These resources are designed to encourage the development of teaching or training practice using the topic of Noise.</w:t>
            </w:r>
          </w:p>
          <w:p w14:paraId="3D6463CB" w14:textId="2F1B4B25" w:rsidR="00C829D8" w:rsidRPr="00061410" w:rsidRDefault="00C829D8" w:rsidP="00C829D8">
            <w:pPr>
              <w:widowControl w:val="0"/>
              <w:autoSpaceDE w:val="0"/>
              <w:autoSpaceDN w:val="0"/>
              <w:adjustRightInd w:val="0"/>
              <w:rPr>
                <w:rFonts w:asciiTheme="majorHAnsi" w:hAnsiTheme="majorHAnsi" w:cs="Whitman-RomanLF"/>
                <w:sz w:val="20"/>
                <w:szCs w:val="20"/>
                <w:lang w:val="en-US"/>
              </w:rPr>
            </w:pPr>
          </w:p>
        </w:tc>
        <w:tc>
          <w:tcPr>
            <w:tcW w:w="1601" w:type="dxa"/>
          </w:tcPr>
          <w:p w14:paraId="1821ED26" w14:textId="5C4CC7AF" w:rsidR="00566770" w:rsidRPr="00061410" w:rsidRDefault="00566770" w:rsidP="00B60BF7">
            <w:pPr>
              <w:rPr>
                <w:rFonts w:asciiTheme="majorHAnsi" w:hAnsiTheme="majorHAnsi"/>
                <w:sz w:val="20"/>
                <w:szCs w:val="20"/>
              </w:rPr>
            </w:pPr>
          </w:p>
        </w:tc>
      </w:tr>
      <w:tr w:rsidR="00B60BF7" w:rsidRPr="00061410" w14:paraId="279248E4" w14:textId="77777777" w:rsidTr="00061410">
        <w:tc>
          <w:tcPr>
            <w:tcW w:w="1981" w:type="dxa"/>
          </w:tcPr>
          <w:p w14:paraId="7505ADDB" w14:textId="77777777" w:rsidR="00E52E94" w:rsidRPr="00061410" w:rsidRDefault="005C4F4B" w:rsidP="00C829D8">
            <w:pPr>
              <w:widowControl w:val="0"/>
              <w:numPr>
                <w:ilvl w:val="0"/>
                <w:numId w:val="1"/>
              </w:numPr>
              <w:tabs>
                <w:tab w:val="left" w:pos="220"/>
                <w:tab w:val="left" w:pos="720"/>
              </w:tabs>
              <w:autoSpaceDE w:val="0"/>
              <w:autoSpaceDN w:val="0"/>
              <w:adjustRightInd w:val="0"/>
              <w:ind w:left="0" w:firstLine="0"/>
              <w:rPr>
                <w:rFonts w:asciiTheme="majorHAnsi" w:hAnsiTheme="majorHAnsi" w:cs="Whitman-RomanLF"/>
                <w:color w:val="4D3F5E"/>
                <w:sz w:val="20"/>
                <w:szCs w:val="20"/>
                <w:lang w:val="en-US"/>
              </w:rPr>
            </w:pPr>
            <w:hyperlink r:id="rId6" w:history="1">
              <w:r w:rsidR="00E52E94" w:rsidRPr="00061410">
                <w:rPr>
                  <w:rFonts w:asciiTheme="majorHAnsi" w:hAnsiTheme="majorHAnsi" w:cs="Whitman-RomanLF"/>
                  <w:color w:val="E7742C"/>
                  <w:sz w:val="20"/>
                  <w:szCs w:val="20"/>
                  <w:lang w:val="en-US"/>
                </w:rPr>
                <w:t>CBE-Teaching-and-Learning-</w:t>
              </w:r>
              <w:proofErr w:type="spellStart"/>
              <w:r w:rsidR="00E52E94" w:rsidRPr="00061410">
                <w:rPr>
                  <w:rFonts w:asciiTheme="majorHAnsi" w:hAnsiTheme="majorHAnsi" w:cs="Whitman-RomanLF"/>
                  <w:color w:val="E7742C"/>
                  <w:sz w:val="20"/>
                  <w:szCs w:val="20"/>
                  <w:lang w:val="en-US"/>
                </w:rPr>
                <w:t>Programme</w:t>
              </w:r>
              <w:proofErr w:type="spellEnd"/>
            </w:hyperlink>
          </w:p>
          <w:p w14:paraId="1DCE8542" w14:textId="77777777" w:rsidR="00B60BF7" w:rsidRPr="00061410" w:rsidRDefault="00B60BF7" w:rsidP="00C829D8">
            <w:pPr>
              <w:widowControl w:val="0"/>
              <w:tabs>
                <w:tab w:val="left" w:pos="220"/>
                <w:tab w:val="left" w:pos="720"/>
              </w:tabs>
              <w:autoSpaceDE w:val="0"/>
              <w:autoSpaceDN w:val="0"/>
              <w:adjustRightInd w:val="0"/>
              <w:rPr>
                <w:rFonts w:asciiTheme="majorHAnsi" w:hAnsiTheme="majorHAnsi"/>
                <w:sz w:val="20"/>
                <w:szCs w:val="20"/>
              </w:rPr>
            </w:pPr>
          </w:p>
        </w:tc>
        <w:tc>
          <w:tcPr>
            <w:tcW w:w="4648" w:type="dxa"/>
          </w:tcPr>
          <w:p w14:paraId="1698D3C7" w14:textId="7A6FF34F" w:rsidR="00C829D8" w:rsidRPr="00061410" w:rsidRDefault="00C829D8" w:rsidP="00C829D8">
            <w:pPr>
              <w:widowControl w:val="0"/>
              <w:autoSpaceDE w:val="0"/>
              <w:autoSpaceDN w:val="0"/>
              <w:adjustRightInd w:val="0"/>
              <w:rPr>
                <w:rFonts w:asciiTheme="majorHAnsi" w:hAnsiTheme="majorHAnsi" w:cs="Arial"/>
                <w:b/>
                <w:bCs/>
                <w:sz w:val="20"/>
                <w:szCs w:val="20"/>
                <w:lang w:val="en-US"/>
              </w:rPr>
            </w:pPr>
            <w:r w:rsidRPr="00061410">
              <w:rPr>
                <w:rFonts w:asciiTheme="majorHAnsi" w:hAnsiTheme="majorHAnsi" w:cs="Arial"/>
                <w:b/>
                <w:bCs/>
                <w:sz w:val="20"/>
                <w:szCs w:val="20"/>
                <w:lang w:val="en-US"/>
              </w:rPr>
              <w:t xml:space="preserve">Construction and the built environment </w:t>
            </w:r>
          </w:p>
          <w:p w14:paraId="000136AA" w14:textId="5693ABF0" w:rsidR="00C829D8" w:rsidRPr="00061410" w:rsidRDefault="00C829D8" w:rsidP="00C829D8">
            <w:pPr>
              <w:widowControl w:val="0"/>
              <w:autoSpaceDE w:val="0"/>
              <w:autoSpaceDN w:val="0"/>
              <w:adjustRightInd w:val="0"/>
              <w:rPr>
                <w:rFonts w:asciiTheme="majorHAnsi" w:hAnsiTheme="majorHAnsi" w:cs="Arial"/>
                <w:b/>
                <w:bCs/>
                <w:color w:val="0A2C50"/>
                <w:sz w:val="20"/>
                <w:szCs w:val="20"/>
                <w:lang w:val="en-US"/>
              </w:rPr>
            </w:pPr>
            <w:r w:rsidRPr="00061410">
              <w:rPr>
                <w:rFonts w:asciiTheme="majorHAnsi" w:hAnsiTheme="majorHAnsi" w:cs="Arial"/>
                <w:b/>
                <w:bCs/>
                <w:color w:val="0A2C50"/>
                <w:sz w:val="20"/>
                <w:szCs w:val="20"/>
                <w:lang w:val="en-US"/>
              </w:rPr>
              <w:t>About these resources</w:t>
            </w:r>
          </w:p>
          <w:p w14:paraId="5C63222F" w14:textId="77777777" w:rsidR="00C829D8" w:rsidRPr="00061410" w:rsidRDefault="00C829D8" w:rsidP="00C829D8">
            <w:pPr>
              <w:widowControl w:val="0"/>
              <w:autoSpaceDE w:val="0"/>
              <w:autoSpaceDN w:val="0"/>
              <w:adjustRightInd w:val="0"/>
              <w:rPr>
                <w:rFonts w:asciiTheme="majorHAnsi" w:hAnsiTheme="majorHAnsi" w:cs="Whitman-RomanLF"/>
                <w:color w:val="535353"/>
                <w:sz w:val="20"/>
                <w:szCs w:val="20"/>
                <w:lang w:val="en-US"/>
              </w:rPr>
            </w:pPr>
            <w:r w:rsidRPr="00061410">
              <w:rPr>
                <w:rFonts w:asciiTheme="majorHAnsi" w:hAnsiTheme="majorHAnsi" w:cs="Whitman-RomanLF"/>
                <w:color w:val="535353"/>
                <w:sz w:val="20"/>
                <w:szCs w:val="20"/>
                <w:lang w:val="en-US"/>
              </w:rPr>
              <w:t>These new teaching and learning resources for Construction and the built environment (CBE) offer a rich mix of creative, practical ideas and activities to help you create learning experiences. You can:</w:t>
            </w:r>
          </w:p>
          <w:p w14:paraId="6223583D" w14:textId="77777777" w:rsidR="00C829D8" w:rsidRPr="00061410" w:rsidRDefault="00C829D8" w:rsidP="00C829D8">
            <w:pPr>
              <w:widowControl w:val="0"/>
              <w:numPr>
                <w:ilvl w:val="0"/>
                <w:numId w:val="1"/>
              </w:numPr>
              <w:tabs>
                <w:tab w:val="left" w:pos="220"/>
                <w:tab w:val="left" w:pos="720"/>
              </w:tabs>
              <w:autoSpaceDE w:val="0"/>
              <w:autoSpaceDN w:val="0"/>
              <w:adjustRightInd w:val="0"/>
              <w:ind w:left="0" w:firstLine="0"/>
              <w:rPr>
                <w:rFonts w:asciiTheme="majorHAnsi" w:hAnsiTheme="majorHAnsi" w:cs="Whitman-RomanLF"/>
                <w:color w:val="535353"/>
                <w:sz w:val="20"/>
                <w:szCs w:val="20"/>
                <w:lang w:val="en-US"/>
              </w:rPr>
            </w:pPr>
            <w:r w:rsidRPr="00061410">
              <w:rPr>
                <w:rFonts w:asciiTheme="majorHAnsi" w:hAnsiTheme="majorHAnsi" w:cs="Whitman-RomanLF"/>
                <w:color w:val="535353"/>
                <w:sz w:val="20"/>
                <w:szCs w:val="20"/>
                <w:lang w:val="en-US"/>
              </w:rPr>
              <w:t xml:space="preserve">help your learners develop the skills, attitudes and </w:t>
            </w:r>
            <w:proofErr w:type="spellStart"/>
            <w:r w:rsidRPr="00061410">
              <w:rPr>
                <w:rFonts w:asciiTheme="majorHAnsi" w:hAnsiTheme="majorHAnsi" w:cs="Whitman-RomanLF"/>
                <w:color w:val="535353"/>
                <w:sz w:val="20"/>
                <w:szCs w:val="20"/>
                <w:lang w:val="en-US"/>
              </w:rPr>
              <w:t>behaviours</w:t>
            </w:r>
            <w:proofErr w:type="spellEnd"/>
            <w:r w:rsidRPr="00061410">
              <w:rPr>
                <w:rFonts w:asciiTheme="majorHAnsi" w:hAnsiTheme="majorHAnsi" w:cs="Whitman-RomanLF"/>
                <w:color w:val="535353"/>
                <w:sz w:val="20"/>
                <w:szCs w:val="20"/>
                <w:lang w:val="en-US"/>
              </w:rPr>
              <w:t xml:space="preserve"> that lead to success in their field</w:t>
            </w:r>
          </w:p>
          <w:p w14:paraId="00FCFCF9" w14:textId="77777777" w:rsidR="00C829D8" w:rsidRPr="00061410" w:rsidRDefault="00C829D8" w:rsidP="00C829D8">
            <w:pPr>
              <w:widowControl w:val="0"/>
              <w:numPr>
                <w:ilvl w:val="0"/>
                <w:numId w:val="1"/>
              </w:numPr>
              <w:tabs>
                <w:tab w:val="left" w:pos="220"/>
                <w:tab w:val="left" w:pos="720"/>
              </w:tabs>
              <w:autoSpaceDE w:val="0"/>
              <w:autoSpaceDN w:val="0"/>
              <w:adjustRightInd w:val="0"/>
              <w:ind w:left="0" w:firstLine="0"/>
              <w:rPr>
                <w:rFonts w:asciiTheme="majorHAnsi" w:hAnsiTheme="majorHAnsi" w:cs="Whitman-RomanLF"/>
                <w:color w:val="535353"/>
                <w:sz w:val="20"/>
                <w:szCs w:val="20"/>
                <w:lang w:val="en-US"/>
              </w:rPr>
            </w:pPr>
            <w:proofErr w:type="gramStart"/>
            <w:r w:rsidRPr="00061410">
              <w:rPr>
                <w:rFonts w:asciiTheme="majorHAnsi" w:hAnsiTheme="majorHAnsi" w:cs="Whitman-RomanLF"/>
                <w:color w:val="535353"/>
                <w:sz w:val="20"/>
                <w:szCs w:val="20"/>
                <w:lang w:val="en-US"/>
              </w:rPr>
              <w:t>construct</w:t>
            </w:r>
            <w:proofErr w:type="gramEnd"/>
            <w:r w:rsidRPr="00061410">
              <w:rPr>
                <w:rFonts w:asciiTheme="majorHAnsi" w:hAnsiTheme="majorHAnsi" w:cs="Whitman-RomanLF"/>
                <w:color w:val="535353"/>
                <w:sz w:val="20"/>
                <w:szCs w:val="20"/>
                <w:lang w:val="en-US"/>
              </w:rPr>
              <w:t xml:space="preserve"> dynamic action plans for your own professional development.</w:t>
            </w:r>
          </w:p>
          <w:p w14:paraId="048183A6" w14:textId="77777777" w:rsidR="00C829D8" w:rsidRPr="00061410" w:rsidRDefault="00C829D8" w:rsidP="00C829D8">
            <w:pPr>
              <w:widowControl w:val="0"/>
              <w:autoSpaceDE w:val="0"/>
              <w:autoSpaceDN w:val="0"/>
              <w:adjustRightInd w:val="0"/>
              <w:rPr>
                <w:rFonts w:asciiTheme="majorHAnsi" w:hAnsiTheme="majorHAnsi" w:cs="Whitman-RomanLF"/>
                <w:color w:val="535353"/>
                <w:sz w:val="20"/>
                <w:szCs w:val="20"/>
                <w:lang w:val="en-US"/>
              </w:rPr>
            </w:pPr>
            <w:r w:rsidRPr="00061410">
              <w:rPr>
                <w:rFonts w:asciiTheme="majorHAnsi" w:hAnsiTheme="majorHAnsi" w:cs="Whitman-RomanLF"/>
                <w:color w:val="535353"/>
                <w:sz w:val="20"/>
                <w:szCs w:val="20"/>
                <w:lang w:val="en-US"/>
              </w:rPr>
              <w:t>The aim of these resources is to provide inspiration, support and ideas to help you to broaden your range of active teaching and learning methods. They also provide practical examples of how you can embed naturally occurring literacy, language and numeracy learning.</w:t>
            </w:r>
          </w:p>
          <w:p w14:paraId="16DAEA8E" w14:textId="6D3B1A74" w:rsidR="00C829D8" w:rsidRPr="00061410" w:rsidRDefault="00C829D8" w:rsidP="00C829D8">
            <w:pPr>
              <w:widowControl w:val="0"/>
              <w:autoSpaceDE w:val="0"/>
              <w:autoSpaceDN w:val="0"/>
              <w:adjustRightInd w:val="0"/>
              <w:rPr>
                <w:rFonts w:asciiTheme="majorHAnsi" w:hAnsiTheme="majorHAnsi" w:cs="Arial"/>
                <w:b/>
                <w:bCs/>
                <w:color w:val="0A2C50"/>
                <w:sz w:val="20"/>
                <w:szCs w:val="20"/>
                <w:lang w:val="en-US"/>
              </w:rPr>
            </w:pPr>
          </w:p>
        </w:tc>
        <w:tc>
          <w:tcPr>
            <w:tcW w:w="1601" w:type="dxa"/>
          </w:tcPr>
          <w:p w14:paraId="6764F830" w14:textId="77777777" w:rsidR="00B60BF7" w:rsidRPr="00061410" w:rsidRDefault="00B60BF7" w:rsidP="00B60BF7">
            <w:pPr>
              <w:rPr>
                <w:rFonts w:asciiTheme="majorHAnsi" w:hAnsiTheme="majorHAnsi"/>
                <w:sz w:val="20"/>
                <w:szCs w:val="20"/>
              </w:rPr>
            </w:pPr>
          </w:p>
        </w:tc>
      </w:tr>
      <w:tr w:rsidR="00C829D8" w:rsidRPr="00061410" w14:paraId="2289BF8B" w14:textId="77777777" w:rsidTr="00061410">
        <w:tc>
          <w:tcPr>
            <w:tcW w:w="1981" w:type="dxa"/>
          </w:tcPr>
          <w:p w14:paraId="4E920967" w14:textId="77777777" w:rsidR="00C829D8" w:rsidRPr="00061410" w:rsidRDefault="005C4F4B" w:rsidP="00C829D8">
            <w:pPr>
              <w:widowControl w:val="0"/>
              <w:tabs>
                <w:tab w:val="left" w:pos="220"/>
                <w:tab w:val="left" w:pos="720"/>
              </w:tabs>
              <w:autoSpaceDE w:val="0"/>
              <w:autoSpaceDN w:val="0"/>
              <w:adjustRightInd w:val="0"/>
              <w:rPr>
                <w:rFonts w:asciiTheme="majorHAnsi" w:hAnsiTheme="majorHAnsi" w:cs="Whitman-RomanLF"/>
                <w:color w:val="4D3F5E"/>
                <w:sz w:val="20"/>
                <w:szCs w:val="20"/>
                <w:lang w:val="en-US"/>
              </w:rPr>
            </w:pPr>
            <w:hyperlink r:id="rId7" w:history="1">
              <w:r w:rsidR="00C829D8" w:rsidRPr="00061410">
                <w:rPr>
                  <w:rFonts w:asciiTheme="majorHAnsi" w:hAnsiTheme="majorHAnsi" w:cs="Whitman-RomanLF"/>
                  <w:color w:val="E7742C"/>
                  <w:sz w:val="20"/>
                  <w:szCs w:val="20"/>
                  <w:lang w:val="en-US"/>
                </w:rPr>
                <w:t>Construction-Improving-Teaching-and-Learning</w:t>
              </w:r>
            </w:hyperlink>
          </w:p>
          <w:p w14:paraId="6DF17DBD" w14:textId="77777777" w:rsidR="00C829D8" w:rsidRPr="00061410" w:rsidRDefault="00C829D8" w:rsidP="00C829D8">
            <w:pPr>
              <w:widowControl w:val="0"/>
              <w:tabs>
                <w:tab w:val="left" w:pos="220"/>
                <w:tab w:val="left" w:pos="720"/>
              </w:tabs>
              <w:autoSpaceDE w:val="0"/>
              <w:autoSpaceDN w:val="0"/>
              <w:adjustRightInd w:val="0"/>
              <w:rPr>
                <w:rFonts w:asciiTheme="majorHAnsi" w:hAnsiTheme="majorHAnsi"/>
                <w:sz w:val="20"/>
                <w:szCs w:val="20"/>
              </w:rPr>
            </w:pPr>
          </w:p>
        </w:tc>
        <w:tc>
          <w:tcPr>
            <w:tcW w:w="4648" w:type="dxa"/>
          </w:tcPr>
          <w:p w14:paraId="797A960F" w14:textId="77777777" w:rsidR="00C829D8" w:rsidRPr="00061410" w:rsidRDefault="00C829D8" w:rsidP="00FA7F42">
            <w:pPr>
              <w:shd w:val="clear" w:color="auto" w:fill="FFFFFF"/>
              <w:spacing w:beforeAutospacing="1" w:line="240" w:lineRule="atLeast"/>
              <w:rPr>
                <w:rFonts w:asciiTheme="majorHAnsi" w:eastAsia="Times New Roman" w:hAnsiTheme="majorHAnsi" w:cs="Times New Roman"/>
                <w:sz w:val="20"/>
                <w:szCs w:val="20"/>
                <w:lang w:eastAsia="en-GB"/>
              </w:rPr>
            </w:pPr>
            <w:r w:rsidRPr="00061410">
              <w:rPr>
                <w:rFonts w:asciiTheme="majorHAnsi" w:eastAsia="Times New Roman" w:hAnsiTheme="majorHAnsi" w:cs="Times New Roman"/>
                <w:sz w:val="20"/>
                <w:szCs w:val="20"/>
                <w:lang w:eastAsia="en-GB"/>
              </w:rPr>
              <w:t>Improving teaching and learning in construction</w:t>
            </w:r>
          </w:p>
          <w:p w14:paraId="7B1A475F" w14:textId="77777777" w:rsidR="00C829D8" w:rsidRPr="00061410" w:rsidRDefault="00C829D8" w:rsidP="00C829D8">
            <w:pPr>
              <w:widowControl w:val="0"/>
              <w:autoSpaceDE w:val="0"/>
              <w:autoSpaceDN w:val="0"/>
              <w:adjustRightInd w:val="0"/>
              <w:rPr>
                <w:rFonts w:asciiTheme="majorHAnsi" w:hAnsiTheme="majorHAnsi" w:cs="Arial"/>
                <w:color w:val="4D3F5E"/>
                <w:sz w:val="20"/>
                <w:szCs w:val="20"/>
                <w:lang w:val="en-US"/>
              </w:rPr>
            </w:pPr>
            <w:r w:rsidRPr="00061410">
              <w:rPr>
                <w:rFonts w:asciiTheme="majorHAnsi" w:hAnsiTheme="majorHAnsi" w:cs="Arial"/>
                <w:color w:val="4D3F5E"/>
                <w:sz w:val="20"/>
                <w:szCs w:val="20"/>
                <w:lang w:val="en-US"/>
              </w:rPr>
              <w:t>This resource focuses on aspects of health and safety. It uses nine activities, suitable for learners at Levels 1 and 2, to support improvement in teaching practice.</w:t>
            </w:r>
          </w:p>
          <w:p w14:paraId="3A310EFC" w14:textId="77777777" w:rsidR="00C829D8" w:rsidRPr="00061410" w:rsidRDefault="00C829D8" w:rsidP="00C829D8">
            <w:pPr>
              <w:widowControl w:val="0"/>
              <w:autoSpaceDE w:val="0"/>
              <w:autoSpaceDN w:val="0"/>
              <w:adjustRightInd w:val="0"/>
              <w:rPr>
                <w:rFonts w:asciiTheme="majorHAnsi" w:hAnsiTheme="majorHAnsi" w:cs="Arial"/>
                <w:color w:val="4D3F5E"/>
                <w:sz w:val="20"/>
                <w:szCs w:val="20"/>
                <w:lang w:val="en-US"/>
              </w:rPr>
            </w:pPr>
            <w:r w:rsidRPr="00061410">
              <w:rPr>
                <w:rFonts w:asciiTheme="majorHAnsi" w:hAnsiTheme="majorHAnsi" w:cs="Arial"/>
                <w:color w:val="4D3F5E"/>
                <w:sz w:val="20"/>
                <w:szCs w:val="20"/>
                <w:lang w:val="en-US"/>
              </w:rPr>
              <w:t>This resource contains:</w:t>
            </w:r>
          </w:p>
          <w:p w14:paraId="0718A827" w14:textId="77777777" w:rsidR="00C829D8" w:rsidRPr="00061410" w:rsidRDefault="00C829D8" w:rsidP="00C829D8">
            <w:pPr>
              <w:widowControl w:val="0"/>
              <w:numPr>
                <w:ilvl w:val="0"/>
                <w:numId w:val="1"/>
              </w:numPr>
              <w:tabs>
                <w:tab w:val="left" w:pos="220"/>
                <w:tab w:val="left" w:pos="720"/>
              </w:tabs>
              <w:autoSpaceDE w:val="0"/>
              <w:autoSpaceDN w:val="0"/>
              <w:adjustRightInd w:val="0"/>
              <w:ind w:left="0" w:firstLine="0"/>
              <w:rPr>
                <w:rFonts w:asciiTheme="majorHAnsi" w:hAnsiTheme="majorHAnsi" w:cs="Arial"/>
                <w:color w:val="4D3F5E"/>
                <w:sz w:val="20"/>
                <w:szCs w:val="20"/>
                <w:lang w:val="en-US"/>
              </w:rPr>
            </w:pPr>
            <w:r w:rsidRPr="00061410">
              <w:rPr>
                <w:rFonts w:asciiTheme="majorHAnsi" w:hAnsiTheme="majorHAnsi" w:cs="Arial"/>
                <w:color w:val="4D3F5E"/>
                <w:sz w:val="20"/>
                <w:szCs w:val="20"/>
                <w:lang w:val="en-US"/>
              </w:rPr>
              <w:t>video clips of the activities in use</w:t>
            </w:r>
          </w:p>
          <w:p w14:paraId="57F78209" w14:textId="77777777" w:rsidR="00C829D8" w:rsidRPr="00061410" w:rsidRDefault="00C829D8" w:rsidP="00C829D8">
            <w:pPr>
              <w:widowControl w:val="0"/>
              <w:numPr>
                <w:ilvl w:val="0"/>
                <w:numId w:val="1"/>
              </w:numPr>
              <w:tabs>
                <w:tab w:val="left" w:pos="220"/>
                <w:tab w:val="left" w:pos="720"/>
              </w:tabs>
              <w:autoSpaceDE w:val="0"/>
              <w:autoSpaceDN w:val="0"/>
              <w:adjustRightInd w:val="0"/>
              <w:ind w:left="0" w:firstLine="0"/>
              <w:rPr>
                <w:rFonts w:asciiTheme="majorHAnsi" w:hAnsiTheme="majorHAnsi" w:cs="Arial"/>
                <w:color w:val="4D3F5E"/>
                <w:sz w:val="20"/>
                <w:szCs w:val="20"/>
                <w:lang w:val="en-US"/>
              </w:rPr>
            </w:pPr>
            <w:r w:rsidRPr="00061410">
              <w:rPr>
                <w:rFonts w:asciiTheme="majorHAnsi" w:hAnsiTheme="majorHAnsi" w:cs="Arial"/>
                <w:color w:val="4D3F5E"/>
                <w:sz w:val="20"/>
                <w:szCs w:val="20"/>
                <w:lang w:val="en-US"/>
              </w:rPr>
              <w:t>practical hints and tips to help you transform your own teaching practice</w:t>
            </w:r>
          </w:p>
          <w:p w14:paraId="07BDB086" w14:textId="77777777" w:rsidR="00C829D8" w:rsidRPr="00061410" w:rsidRDefault="00C829D8" w:rsidP="00C829D8">
            <w:pPr>
              <w:widowControl w:val="0"/>
              <w:numPr>
                <w:ilvl w:val="0"/>
                <w:numId w:val="1"/>
              </w:numPr>
              <w:tabs>
                <w:tab w:val="left" w:pos="220"/>
                <w:tab w:val="left" w:pos="720"/>
              </w:tabs>
              <w:autoSpaceDE w:val="0"/>
              <w:autoSpaceDN w:val="0"/>
              <w:adjustRightInd w:val="0"/>
              <w:ind w:left="0" w:firstLine="0"/>
              <w:rPr>
                <w:rFonts w:asciiTheme="majorHAnsi" w:hAnsiTheme="majorHAnsi" w:cs="Arial"/>
                <w:color w:val="4D3F5E"/>
                <w:sz w:val="20"/>
                <w:szCs w:val="20"/>
                <w:lang w:val="en-US"/>
              </w:rPr>
            </w:pPr>
            <w:r w:rsidRPr="00061410">
              <w:rPr>
                <w:rFonts w:asciiTheme="majorHAnsi" w:hAnsiTheme="majorHAnsi" w:cs="Arial"/>
                <w:color w:val="4D3F5E"/>
                <w:sz w:val="20"/>
                <w:szCs w:val="20"/>
                <w:lang w:val="en-US"/>
              </w:rPr>
              <w:t>interviews with teachers, trainers and learners talking about what they have learned</w:t>
            </w:r>
          </w:p>
          <w:p w14:paraId="64719E1D" w14:textId="1329C412" w:rsidR="00C829D8" w:rsidRPr="00061410" w:rsidRDefault="00C829D8" w:rsidP="00C829D8">
            <w:pPr>
              <w:widowControl w:val="0"/>
              <w:numPr>
                <w:ilvl w:val="0"/>
                <w:numId w:val="1"/>
              </w:numPr>
              <w:tabs>
                <w:tab w:val="left" w:pos="220"/>
                <w:tab w:val="left" w:pos="720"/>
              </w:tabs>
              <w:autoSpaceDE w:val="0"/>
              <w:autoSpaceDN w:val="0"/>
              <w:adjustRightInd w:val="0"/>
              <w:ind w:left="0" w:firstLine="0"/>
              <w:rPr>
                <w:rFonts w:asciiTheme="majorHAnsi" w:hAnsiTheme="majorHAnsi" w:cs="Arial"/>
                <w:color w:val="4D3F5E"/>
                <w:sz w:val="20"/>
                <w:szCs w:val="20"/>
                <w:lang w:val="en-US"/>
              </w:rPr>
            </w:pPr>
            <w:r w:rsidRPr="00061410">
              <w:rPr>
                <w:rFonts w:asciiTheme="majorHAnsi" w:hAnsiTheme="majorHAnsi" w:cs="Arial"/>
                <w:color w:val="4D3F5E"/>
                <w:sz w:val="20"/>
                <w:szCs w:val="20"/>
                <w:lang w:val="en-US"/>
              </w:rPr>
              <w:t>materials such as example session plans</w:t>
            </w:r>
          </w:p>
        </w:tc>
        <w:tc>
          <w:tcPr>
            <w:tcW w:w="1601" w:type="dxa"/>
          </w:tcPr>
          <w:p w14:paraId="75CBB272" w14:textId="77777777" w:rsidR="00C829D8" w:rsidRPr="00061410" w:rsidRDefault="00C829D8" w:rsidP="00B60BF7">
            <w:pPr>
              <w:rPr>
                <w:rFonts w:asciiTheme="majorHAnsi" w:hAnsiTheme="majorHAnsi"/>
                <w:sz w:val="20"/>
                <w:szCs w:val="20"/>
              </w:rPr>
            </w:pPr>
          </w:p>
        </w:tc>
      </w:tr>
    </w:tbl>
    <w:p w14:paraId="07CE6077" w14:textId="10D818C6" w:rsidR="00DE094C" w:rsidRPr="00B60BF7" w:rsidRDefault="00DE094C">
      <w:pPr>
        <w:rPr>
          <w:rFonts w:asciiTheme="majorHAnsi" w:hAnsiTheme="majorHAnsi"/>
          <w:sz w:val="22"/>
          <w:szCs w:val="22"/>
        </w:rPr>
      </w:pPr>
      <w:bookmarkStart w:id="0" w:name="_GoBack"/>
      <w:bookmarkEnd w:id="0"/>
    </w:p>
    <w:p w14:paraId="06196B8C" w14:textId="3D8C493B" w:rsidR="00A717EF" w:rsidRDefault="00A717EF"/>
    <w:sectPr w:rsidR="00A717EF" w:rsidSect="00502BC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Whitman-RomanLF">
    <w:altName w:val="Cambria"/>
    <w:panose1 w:val="020005030600000200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643"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671998"/>
    <w:multiLevelType w:val="hybridMultilevel"/>
    <w:tmpl w:val="33F46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8B3FC6"/>
    <w:multiLevelType w:val="multilevel"/>
    <w:tmpl w:val="ABD81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EA7"/>
    <w:rsid w:val="000252A8"/>
    <w:rsid w:val="00046EA7"/>
    <w:rsid w:val="00061410"/>
    <w:rsid w:val="00081CB1"/>
    <w:rsid w:val="000E7B13"/>
    <w:rsid w:val="001E0AAC"/>
    <w:rsid w:val="002B0D94"/>
    <w:rsid w:val="00323E72"/>
    <w:rsid w:val="003C12B2"/>
    <w:rsid w:val="003F2BFB"/>
    <w:rsid w:val="00463A8B"/>
    <w:rsid w:val="004B1F9A"/>
    <w:rsid w:val="00502BCC"/>
    <w:rsid w:val="00566770"/>
    <w:rsid w:val="005C4F4B"/>
    <w:rsid w:val="005F3D5E"/>
    <w:rsid w:val="00624B1A"/>
    <w:rsid w:val="00666394"/>
    <w:rsid w:val="007227B8"/>
    <w:rsid w:val="00744939"/>
    <w:rsid w:val="007619CE"/>
    <w:rsid w:val="0077728E"/>
    <w:rsid w:val="0079672A"/>
    <w:rsid w:val="007B7494"/>
    <w:rsid w:val="00814F25"/>
    <w:rsid w:val="00962162"/>
    <w:rsid w:val="00A3243B"/>
    <w:rsid w:val="00A55B43"/>
    <w:rsid w:val="00A717EF"/>
    <w:rsid w:val="00B41B57"/>
    <w:rsid w:val="00B60BF7"/>
    <w:rsid w:val="00B70C32"/>
    <w:rsid w:val="00C829D8"/>
    <w:rsid w:val="00CB1CAB"/>
    <w:rsid w:val="00CC77CC"/>
    <w:rsid w:val="00CF2045"/>
    <w:rsid w:val="00DE094C"/>
    <w:rsid w:val="00DF66A4"/>
    <w:rsid w:val="00E27DFC"/>
    <w:rsid w:val="00E52E94"/>
    <w:rsid w:val="00EB622E"/>
    <w:rsid w:val="00F234E7"/>
    <w:rsid w:val="00FB3111"/>
    <w:rsid w:val="00FE07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08C0B7"/>
  <w14:defaultImageDpi w14:val="300"/>
  <w15:docId w15:val="{596C729F-7120-40D0-A053-DD3B992E9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0A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14F25"/>
    <w:pPr>
      <w:spacing w:before="150" w:after="150"/>
    </w:pPr>
    <w:rPr>
      <w:rFonts w:ascii="Times New Roman" w:eastAsia="Times New Roman" w:hAnsi="Times New Roman" w:cs="Times New Roman"/>
      <w:lang w:eastAsia="en-GB"/>
    </w:rPr>
  </w:style>
  <w:style w:type="paragraph" w:styleId="ListParagraph">
    <w:name w:val="List Paragraph"/>
    <w:basedOn w:val="Normal"/>
    <w:uiPriority w:val="34"/>
    <w:qFormat/>
    <w:rsid w:val="003F2B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600649">
      <w:bodyDiv w:val="1"/>
      <w:marLeft w:val="0"/>
      <w:marRight w:val="0"/>
      <w:marTop w:val="100"/>
      <w:marBottom w:val="100"/>
      <w:divBdr>
        <w:top w:val="none" w:sz="0" w:space="0" w:color="auto"/>
        <w:left w:val="none" w:sz="0" w:space="0" w:color="auto"/>
        <w:bottom w:val="none" w:sz="0" w:space="0" w:color="auto"/>
        <w:right w:val="none" w:sz="0" w:space="0" w:color="auto"/>
      </w:divBdr>
      <w:divsChild>
        <w:div w:id="525295504">
          <w:marLeft w:val="0"/>
          <w:marRight w:val="0"/>
          <w:marTop w:val="0"/>
          <w:marBottom w:val="0"/>
          <w:divBdr>
            <w:top w:val="none" w:sz="0" w:space="0" w:color="auto"/>
            <w:left w:val="none" w:sz="0" w:space="0" w:color="auto"/>
            <w:bottom w:val="none" w:sz="0" w:space="0" w:color="auto"/>
            <w:right w:val="none" w:sz="0" w:space="0" w:color="auto"/>
          </w:divBdr>
          <w:divsChild>
            <w:div w:id="1065373078">
              <w:marLeft w:val="0"/>
              <w:marRight w:val="0"/>
              <w:marTop w:val="0"/>
              <w:marBottom w:val="0"/>
              <w:divBdr>
                <w:top w:val="none" w:sz="0" w:space="0" w:color="auto"/>
                <w:left w:val="none" w:sz="0" w:space="0" w:color="auto"/>
                <w:bottom w:val="none" w:sz="0" w:space="0" w:color="auto"/>
                <w:right w:val="none" w:sz="0" w:space="0" w:color="auto"/>
              </w:divBdr>
              <w:divsChild>
                <w:div w:id="644747880">
                  <w:marLeft w:val="0"/>
                  <w:marRight w:val="0"/>
                  <w:marTop w:val="0"/>
                  <w:marBottom w:val="0"/>
                  <w:divBdr>
                    <w:top w:val="none" w:sz="0" w:space="0" w:color="auto"/>
                    <w:left w:val="none" w:sz="0" w:space="0" w:color="auto"/>
                    <w:bottom w:val="none" w:sz="0" w:space="0" w:color="auto"/>
                    <w:right w:val="none" w:sz="0" w:space="0" w:color="auto"/>
                  </w:divBdr>
                  <w:divsChild>
                    <w:div w:id="18971631">
                      <w:marLeft w:val="0"/>
                      <w:marRight w:val="0"/>
                      <w:marTop w:val="0"/>
                      <w:marBottom w:val="0"/>
                      <w:divBdr>
                        <w:top w:val="none" w:sz="0" w:space="0" w:color="auto"/>
                        <w:left w:val="none" w:sz="0" w:space="0" w:color="auto"/>
                        <w:bottom w:val="none" w:sz="0" w:space="0" w:color="auto"/>
                        <w:right w:val="none" w:sz="0" w:space="0" w:color="auto"/>
                      </w:divBdr>
                      <w:divsChild>
                        <w:div w:id="1361011816">
                          <w:marLeft w:val="0"/>
                          <w:marRight w:val="0"/>
                          <w:marTop w:val="0"/>
                          <w:marBottom w:val="300"/>
                          <w:divBdr>
                            <w:top w:val="none" w:sz="0" w:space="0" w:color="auto"/>
                            <w:left w:val="none" w:sz="0" w:space="0" w:color="auto"/>
                            <w:bottom w:val="single" w:sz="6" w:space="0" w:color="F8CCCA"/>
                            <w:right w:val="none" w:sz="0" w:space="0" w:color="auto"/>
                          </w:divBdr>
                        </w:div>
                      </w:divsChild>
                    </w:div>
                  </w:divsChild>
                </w:div>
              </w:divsChild>
            </w:div>
          </w:divsChild>
        </w:div>
      </w:divsChild>
    </w:div>
    <w:div w:id="1887250557">
      <w:bodyDiv w:val="1"/>
      <w:marLeft w:val="0"/>
      <w:marRight w:val="0"/>
      <w:marTop w:val="100"/>
      <w:marBottom w:val="100"/>
      <w:divBdr>
        <w:top w:val="none" w:sz="0" w:space="0" w:color="auto"/>
        <w:left w:val="none" w:sz="0" w:space="0" w:color="auto"/>
        <w:bottom w:val="none" w:sz="0" w:space="0" w:color="auto"/>
        <w:right w:val="none" w:sz="0" w:space="0" w:color="auto"/>
      </w:divBdr>
      <w:divsChild>
        <w:div w:id="1785146547">
          <w:marLeft w:val="0"/>
          <w:marRight w:val="0"/>
          <w:marTop w:val="0"/>
          <w:marBottom w:val="0"/>
          <w:divBdr>
            <w:top w:val="single" w:sz="2" w:space="0" w:color="FFFFFF"/>
            <w:left w:val="single" w:sz="2" w:space="0" w:color="FFFFFF"/>
            <w:bottom w:val="single" w:sz="2" w:space="0" w:color="FFFFFF"/>
            <w:right w:val="single" w:sz="2" w:space="0" w:color="FFFFFF"/>
          </w:divBdr>
          <w:divsChild>
            <w:div w:id="1198855876">
              <w:marLeft w:val="0"/>
              <w:marRight w:val="0"/>
              <w:marTop w:val="0"/>
              <w:marBottom w:val="0"/>
              <w:divBdr>
                <w:top w:val="single" w:sz="2" w:space="0" w:color="FFFFFF"/>
                <w:left w:val="single" w:sz="2" w:space="0" w:color="FFFFFF"/>
                <w:bottom w:val="single" w:sz="2" w:space="0" w:color="FFFFFF"/>
                <w:right w:val="single" w:sz="2" w:space="0" w:color="FFFFFF"/>
              </w:divBdr>
              <w:divsChild>
                <w:div w:id="626358235">
                  <w:marLeft w:val="0"/>
                  <w:marRight w:val="0"/>
                  <w:marTop w:val="0"/>
                  <w:marBottom w:val="0"/>
                  <w:divBdr>
                    <w:top w:val="single" w:sz="2" w:space="0" w:color="FFFFFF"/>
                    <w:left w:val="single" w:sz="2" w:space="0" w:color="FFFFFF"/>
                    <w:bottom w:val="single" w:sz="2" w:space="0" w:color="FFFFFF"/>
                    <w:right w:val="single" w:sz="2" w:space="0" w:color="FFFFFF"/>
                  </w:divBdr>
                  <w:divsChild>
                    <w:div w:id="1545678642">
                      <w:marLeft w:val="0"/>
                      <w:marRight w:val="0"/>
                      <w:marTop w:val="0"/>
                      <w:marBottom w:val="0"/>
                      <w:divBdr>
                        <w:top w:val="single" w:sz="2" w:space="0" w:color="FFFFFF"/>
                        <w:left w:val="single" w:sz="2" w:space="0" w:color="FFFFFF"/>
                        <w:bottom w:val="single" w:sz="2" w:space="0" w:color="FFFFFF"/>
                        <w:right w:val="single" w:sz="2" w:space="0" w:color="FFFFFF"/>
                      </w:divBdr>
                      <w:divsChild>
                        <w:div w:id="1386904463">
                          <w:marLeft w:val="0"/>
                          <w:marRight w:val="0"/>
                          <w:marTop w:val="0"/>
                          <w:marBottom w:val="0"/>
                          <w:divBdr>
                            <w:top w:val="single" w:sz="2" w:space="0" w:color="FFFFFF"/>
                            <w:left w:val="single" w:sz="2" w:space="0" w:color="FFFFFF"/>
                            <w:bottom w:val="single" w:sz="2" w:space="0" w:color="FFFFFF"/>
                            <w:right w:val="single" w:sz="2" w:space="0" w:color="FFFFFF"/>
                          </w:divBdr>
                          <w:divsChild>
                            <w:div w:id="928807590">
                              <w:marLeft w:val="0"/>
                              <w:marRight w:val="0"/>
                              <w:marTop w:val="0"/>
                              <w:marBottom w:val="0"/>
                              <w:divBdr>
                                <w:top w:val="single" w:sz="2" w:space="0" w:color="FFFFFF"/>
                                <w:left w:val="single" w:sz="2" w:space="0" w:color="FFFFFF"/>
                                <w:bottom w:val="single" w:sz="2" w:space="0" w:color="FFFFFF"/>
                                <w:right w:val="single" w:sz="2" w:space="0" w:color="FFFFFF"/>
                              </w:divBdr>
                              <w:divsChild>
                                <w:div w:id="2066366456">
                                  <w:marLeft w:val="0"/>
                                  <w:marRight w:val="0"/>
                                  <w:marTop w:val="0"/>
                                  <w:marBottom w:val="30"/>
                                  <w:divBdr>
                                    <w:top w:val="single" w:sz="2" w:space="0" w:color="FFFFFF"/>
                                    <w:left w:val="single" w:sz="2" w:space="0" w:color="FFFFFF"/>
                                    <w:bottom w:val="single" w:sz="2" w:space="0" w:color="FFFFFF"/>
                                    <w:right w:val="single" w:sz="2" w:space="0" w:color="FFFFFF"/>
                                  </w:divBdr>
                                  <w:divsChild>
                                    <w:div w:id="951666626">
                                      <w:marLeft w:val="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sos.excellencegateway.org.uk/Construction-Improving-Teaching-and-Learning/screens/con1_00/pag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sos.excellencegateway.org.uk/CBE-Teaching-and-Learning-Programme/index.html" TargetMode="External"/><Relationship Id="rId5" Type="http://schemas.openxmlformats.org/officeDocument/2006/relationships/hyperlink" Target="http://isos.excellencegateway.org.uk/CBE-Improving-Teaching-and-Learning/screens/cbe_00_00_00_00/page.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PM training</Company>
  <LinksUpToDate>false</LinksUpToDate>
  <CharactersWithSpaces>2448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Munday</dc:creator>
  <cp:keywords/>
  <dc:description/>
  <cp:lastModifiedBy>Peter Munday</cp:lastModifiedBy>
  <cp:revision>2</cp:revision>
  <dcterms:created xsi:type="dcterms:W3CDTF">2016-01-26T14:01:00Z</dcterms:created>
  <dcterms:modified xsi:type="dcterms:W3CDTF">2016-01-26T14:01:00Z</dcterms:modified>
</cp:coreProperties>
</file>